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3" w:rsidRPr="00A41936" w:rsidRDefault="00BE4013" w:rsidP="00BE4013">
      <w:pPr>
        <w:jc w:val="center"/>
        <w:rPr>
          <w:b/>
          <w:sz w:val="36"/>
          <w:szCs w:val="36"/>
        </w:rPr>
      </w:pPr>
      <w:r w:rsidRPr="00A41936">
        <w:rPr>
          <w:b/>
          <w:sz w:val="36"/>
          <w:szCs w:val="36"/>
        </w:rPr>
        <w:t>r4-1 Geldpolitik Grundlagen</w:t>
      </w:r>
    </w:p>
    <w:p w:rsidR="00BE4013" w:rsidRDefault="00BE4013" w:rsidP="00BE4013"/>
    <w:p w:rsidR="00BE4013" w:rsidRPr="00A41936" w:rsidRDefault="00C40CD0" w:rsidP="00BE4013">
      <w:pPr>
        <w:rPr>
          <w:b/>
          <w:sz w:val="28"/>
          <w:szCs w:val="28"/>
        </w:rPr>
      </w:pPr>
      <w:r>
        <w:rPr>
          <w:b/>
          <w:sz w:val="28"/>
          <w:szCs w:val="28"/>
        </w:rPr>
        <w:t xml:space="preserve">Antworten zu den </w:t>
      </w:r>
      <w:r w:rsidR="00BE4013" w:rsidRPr="00A41936">
        <w:rPr>
          <w:b/>
          <w:sz w:val="28"/>
          <w:szCs w:val="28"/>
        </w:rPr>
        <w:t>Fragen</w:t>
      </w:r>
      <w:r w:rsidR="00BE4013">
        <w:rPr>
          <w:b/>
          <w:sz w:val="28"/>
          <w:szCs w:val="28"/>
        </w:rPr>
        <w:t xml:space="preserve"> Folie </w:t>
      </w:r>
      <w:r w:rsidR="00B47745">
        <w:rPr>
          <w:b/>
          <w:sz w:val="28"/>
          <w:szCs w:val="28"/>
        </w:rPr>
        <w:t>37-43</w:t>
      </w:r>
    </w:p>
    <w:p w:rsidR="007C5666" w:rsidRDefault="007C5666" w:rsidP="00BE4013"/>
    <w:p w:rsidR="00BE4013" w:rsidRDefault="00BE4013" w:rsidP="00BE4013"/>
    <w:p w:rsidR="00BE4013" w:rsidRDefault="00241071" w:rsidP="00BE4013">
      <w:pPr>
        <w:pStyle w:val="Listenabsatz"/>
        <w:numPr>
          <w:ilvl w:val="0"/>
          <w:numId w:val="1"/>
        </w:numPr>
      </w:pPr>
      <w:r>
        <w:t>Nennen Sie einen anderen Ausdruck für ein festverzinsliches Wertpapier.</w:t>
      </w:r>
    </w:p>
    <w:p w:rsidR="00BE4013" w:rsidRDefault="00BE4013" w:rsidP="00BE4013"/>
    <w:p w:rsidR="00BE4013" w:rsidRPr="00A04800" w:rsidRDefault="00A04800" w:rsidP="00BE4013">
      <w:pPr>
        <w:rPr>
          <w:color w:val="FF0000"/>
        </w:rPr>
      </w:pPr>
      <w:r w:rsidRPr="00A04800">
        <w:rPr>
          <w:color w:val="FF0000"/>
        </w:rPr>
        <w:t>Schuldverschreibung oder Anleihe oder Obligation oder Rentenpapier</w:t>
      </w:r>
    </w:p>
    <w:p w:rsidR="00A04800" w:rsidRDefault="00A04800" w:rsidP="00BE4013"/>
    <w:p w:rsidR="00241071" w:rsidRDefault="00241071" w:rsidP="00241071">
      <w:pPr>
        <w:pStyle w:val="Listenabsatz"/>
        <w:numPr>
          <w:ilvl w:val="0"/>
          <w:numId w:val="1"/>
        </w:numPr>
      </w:pPr>
      <w:r>
        <w:t>Erklären Sie kurz und prägnant, was eine Schuldverschreibung ist.</w:t>
      </w:r>
    </w:p>
    <w:p w:rsidR="00241071" w:rsidRDefault="00241071" w:rsidP="00BE4013"/>
    <w:p w:rsidR="00241071" w:rsidRPr="00A04800" w:rsidRDefault="00A04800" w:rsidP="00BE4013">
      <w:pPr>
        <w:rPr>
          <w:color w:val="FF0000"/>
        </w:rPr>
      </w:pPr>
      <w:r w:rsidRPr="00A04800">
        <w:rPr>
          <w:color w:val="FF0000"/>
        </w:rPr>
        <w:t>Ein handelbarer Anteil an einem Kredit.</w:t>
      </w:r>
    </w:p>
    <w:p w:rsidR="00A04800" w:rsidRDefault="00A04800" w:rsidP="00BE4013"/>
    <w:p w:rsidR="00241071" w:rsidRDefault="00241071" w:rsidP="00241071">
      <w:pPr>
        <w:pStyle w:val="Listenabsatz"/>
        <w:numPr>
          <w:ilvl w:val="0"/>
          <w:numId w:val="1"/>
        </w:numPr>
      </w:pPr>
      <w:r>
        <w:t>Warum können kleine und mittlere Unternehmen sich nicht mit Schuldverschreibungen Kredite billiger besorgen als von der Bank?</w:t>
      </w:r>
    </w:p>
    <w:p w:rsidR="00241071" w:rsidRDefault="00241071" w:rsidP="00BE4013"/>
    <w:p w:rsidR="00241071" w:rsidRPr="00A04800" w:rsidRDefault="00A04800" w:rsidP="00BE4013">
      <w:pPr>
        <w:rPr>
          <w:color w:val="FF0000"/>
        </w:rPr>
      </w:pPr>
      <w:r w:rsidRPr="00A04800">
        <w:rPr>
          <w:color w:val="FF0000"/>
        </w:rPr>
        <w:t>Die Einmalkosten bei der Ausgabe für Prospekt, Emission etc. sind zu hoch und fressen bei kleinen Emissionsvolumina den Zinsvorteil auf.</w:t>
      </w:r>
    </w:p>
    <w:p w:rsidR="00A04800" w:rsidRDefault="00A04800" w:rsidP="00BE4013"/>
    <w:p w:rsidR="00241071" w:rsidRDefault="00241071" w:rsidP="00215942">
      <w:pPr>
        <w:pStyle w:val="Listenabsatz"/>
        <w:numPr>
          <w:ilvl w:val="0"/>
          <w:numId w:val="1"/>
        </w:numPr>
      </w:pPr>
      <w:r>
        <w:t>Warum kann sich die Rendite einer Schuldverschreibung ändern, wenn doch ihr Zinssatz festgeschrieben ist?</w:t>
      </w:r>
    </w:p>
    <w:p w:rsidR="00241071" w:rsidRDefault="00241071" w:rsidP="00BE4013"/>
    <w:p w:rsidR="00241071" w:rsidRPr="00A04800" w:rsidRDefault="00A04800" w:rsidP="00BE4013">
      <w:pPr>
        <w:rPr>
          <w:color w:val="FF0000"/>
        </w:rPr>
      </w:pPr>
      <w:r w:rsidRPr="00A04800">
        <w:rPr>
          <w:color w:val="FF0000"/>
        </w:rPr>
        <w:t>Um die Anleihe handelbar zu machen, ändert sich fortlaufend der Kaufpreis je nach Angebot und Nachfrage. Der feste Zins- und Rückzahlungsbetrag in Relation zum variablen Kapitaleinsatz führt zu einer sich ändernden Rendite.</w:t>
      </w:r>
    </w:p>
    <w:p w:rsidR="00A04800" w:rsidRDefault="00A04800" w:rsidP="00BE4013"/>
    <w:p w:rsidR="00241071" w:rsidRDefault="00241071" w:rsidP="00215942">
      <w:pPr>
        <w:pStyle w:val="Listenabsatz"/>
        <w:numPr>
          <w:ilvl w:val="0"/>
          <w:numId w:val="1"/>
        </w:numPr>
      </w:pPr>
      <w:r>
        <w:t>Angenommen, Sie haben in Ihrem Depot Schuldverschreibungen</w:t>
      </w:r>
      <w:r w:rsidR="00427CC3">
        <w:t xml:space="preserve"> der Bundesrepublik Deutschland:</w:t>
      </w:r>
      <w:r>
        <w:t xml:space="preserve"> Sollten Sie diese vor oder nach einer Zinserhöhung durch die </w:t>
      </w:r>
      <w:r w:rsidR="00427CC3">
        <w:t xml:space="preserve">Europäische </w:t>
      </w:r>
      <w:r>
        <w:t xml:space="preserve">Zentralbank </w:t>
      </w:r>
      <w:r w:rsidR="00427CC3">
        <w:t xml:space="preserve">(EZB) </w:t>
      </w:r>
      <w:r>
        <w:t>verkaufen</w:t>
      </w:r>
      <w:r w:rsidR="00427CC3">
        <w:t xml:space="preserve">, wenn Sie sie nicht bis zur Endfälligkeit behalten wollen? </w:t>
      </w:r>
    </w:p>
    <w:p w:rsidR="00427CC3" w:rsidRDefault="00427CC3" w:rsidP="00BE4013"/>
    <w:p w:rsidR="00427CC3" w:rsidRDefault="00A04800" w:rsidP="00BE4013">
      <w:r w:rsidRPr="00A04800">
        <w:rPr>
          <w:color w:val="FF0000"/>
        </w:rPr>
        <w:t>Vorher</w:t>
      </w:r>
      <w:r>
        <w:t xml:space="preserve"> </w:t>
      </w:r>
      <w:r w:rsidRPr="00A04800">
        <w:rPr>
          <w:color w:val="0070C0"/>
          <w:sz w:val="18"/>
        </w:rPr>
        <w:t>(Reicht als Antwort, weil keine Begründung verlangt ist.)</w:t>
      </w:r>
    </w:p>
    <w:p w:rsidR="00A04800" w:rsidRDefault="00A04800" w:rsidP="00BE4013"/>
    <w:p w:rsidR="00A04800" w:rsidRPr="00A04800" w:rsidRDefault="00A04800" w:rsidP="00BE4013">
      <w:pPr>
        <w:rPr>
          <w:color w:val="FF0000"/>
        </w:rPr>
      </w:pPr>
      <w:r w:rsidRPr="00A04800">
        <w:rPr>
          <w:color w:val="0070C0"/>
          <w:sz w:val="18"/>
        </w:rPr>
        <w:t xml:space="preserve">Bei Begründung: </w:t>
      </w:r>
      <w:r w:rsidRPr="00A04800">
        <w:rPr>
          <w:color w:val="FF0000"/>
        </w:rPr>
        <w:t xml:space="preserve">Durch den Substitutionseffekt (r4-2; Folie 67 ff.) </w:t>
      </w:r>
      <w:r>
        <w:rPr>
          <w:color w:val="FF0000"/>
        </w:rPr>
        <w:t>ist damit zu rechnen, dass</w:t>
      </w:r>
      <w:r w:rsidRPr="00A04800">
        <w:rPr>
          <w:color w:val="FF0000"/>
        </w:rPr>
        <w:t xml:space="preserve"> die Leitzinserhöhung zu einer Erhöhung der Umlaufrenditen in allen Laufzeitbereichen führt. Da die Schuldverschreibungen i.d.R. fest verzinst sind, wird der Kurswert angepasst. Bei steigenden Marktrenditen fallen die Kurswerte der vorher ausgegebenen Wertpapiere. Um die Realisierung dieses Wertverlustes zu vermeiden, sollte die Schuldverschreibung schon vorher verkauft werden.</w:t>
      </w:r>
    </w:p>
    <w:p w:rsidR="00A04800" w:rsidRDefault="00A04800" w:rsidP="00BE4013"/>
    <w:p w:rsidR="00427CC3" w:rsidRDefault="00427CC3" w:rsidP="00215942">
      <w:pPr>
        <w:pStyle w:val="Listenabsatz"/>
        <w:numPr>
          <w:ilvl w:val="0"/>
          <w:numId w:val="1"/>
        </w:numPr>
      </w:pPr>
      <w:r>
        <w:t>Angenommen Sie rechnen mit einem Rückgang der Zinsen in den USA und wollen US-Dollar-Guthaben, die Ihre Firma aus Verkäufen hat, für einen längeren Zeitraum anlegen: würden Sie Staatsschuldverschreibungen der USA empfehlen, deren Restlaufzeit die gesamte geplante Anlagedauer umfasst, oder würden Sie lieber die Gesamtzeit in zwei oder drei Anlageabschnitte teilen?</w:t>
      </w:r>
    </w:p>
    <w:p w:rsidR="00427CC3" w:rsidRDefault="00427CC3" w:rsidP="00BE4013"/>
    <w:p w:rsidR="00A04800" w:rsidRDefault="00AD2FFE" w:rsidP="00BE4013">
      <w:pPr>
        <w:rPr>
          <w:color w:val="FF0000"/>
        </w:rPr>
      </w:pPr>
      <w:r w:rsidRPr="00AD2FFE">
        <w:rPr>
          <w:color w:val="FF0000"/>
        </w:rPr>
        <w:t>Nach</w:t>
      </w:r>
      <w:r w:rsidR="00A04800" w:rsidRPr="00AD2FFE">
        <w:rPr>
          <w:color w:val="FF0000"/>
        </w:rPr>
        <w:t xml:space="preserve"> einem Zinsrückgang werden die bisher ausgegebenen Papiere mit den alten, höheren Fe</w:t>
      </w:r>
      <w:r w:rsidRPr="00AD2FFE">
        <w:rPr>
          <w:color w:val="FF0000"/>
        </w:rPr>
        <w:t>stzinsen wertvoller. Um diesen E</w:t>
      </w:r>
      <w:r w:rsidR="00A04800" w:rsidRPr="00AD2FFE">
        <w:rPr>
          <w:color w:val="FF0000"/>
        </w:rPr>
        <w:t>ffekt zu nutzen,</w:t>
      </w:r>
      <w:r w:rsidRPr="00AD2FFE">
        <w:rPr>
          <w:color w:val="FF0000"/>
        </w:rPr>
        <w:t xml:space="preserve"> sollte man Papiere kaufen, deren Restlaufzeit </w:t>
      </w:r>
      <w:r w:rsidR="00A04800" w:rsidRPr="00AD2FFE">
        <w:rPr>
          <w:color w:val="FF0000"/>
        </w:rPr>
        <w:t>mindestens die gesam</w:t>
      </w:r>
      <w:r w:rsidRPr="00AD2FFE">
        <w:rPr>
          <w:color w:val="FF0000"/>
        </w:rPr>
        <w:t>te Anlagedauer umfasst, also in keinem Fall stückeln.</w:t>
      </w:r>
    </w:p>
    <w:p w:rsidR="00AD2FFE" w:rsidRDefault="00AD2FFE" w:rsidP="00BE4013">
      <w:pPr>
        <w:rPr>
          <w:color w:val="FF0000"/>
        </w:rPr>
      </w:pPr>
    </w:p>
    <w:p w:rsidR="00AD2FFE" w:rsidRPr="00AD2FFE" w:rsidRDefault="00AD2FFE" w:rsidP="00BE4013">
      <w:pPr>
        <w:rPr>
          <w:color w:val="0070C0"/>
          <w:sz w:val="18"/>
        </w:rPr>
      </w:pPr>
      <w:r w:rsidRPr="00AD2FFE">
        <w:rPr>
          <w:color w:val="0070C0"/>
          <w:sz w:val="18"/>
        </w:rPr>
        <w:t>(Aber Achtung für alle Real-Anleger: wenn die USA al</w:t>
      </w:r>
      <w:r>
        <w:rPr>
          <w:color w:val="0070C0"/>
          <w:sz w:val="18"/>
        </w:rPr>
        <w:t>l</w:t>
      </w:r>
      <w:r w:rsidRPr="00AD2FFE">
        <w:rPr>
          <w:color w:val="0070C0"/>
          <w:sz w:val="18"/>
        </w:rPr>
        <w:t xml:space="preserve">eine oder wesentlich stärker als andere Staaten die Zinsen senken, so kann das den Wert des US-$ gegenüber z.B. dem Euro schwächen. Besteht also </w:t>
      </w:r>
      <w:r>
        <w:rPr>
          <w:color w:val="0070C0"/>
          <w:sz w:val="18"/>
        </w:rPr>
        <w:t>eine erhöhte Wahrscheinlichkeit</w:t>
      </w:r>
      <w:r w:rsidRPr="00AD2FFE">
        <w:rPr>
          <w:color w:val="0070C0"/>
          <w:sz w:val="18"/>
        </w:rPr>
        <w:t xml:space="preserve">, dass das Geld nach der </w:t>
      </w:r>
      <w:r>
        <w:rPr>
          <w:color w:val="0070C0"/>
          <w:sz w:val="18"/>
        </w:rPr>
        <w:t>$-</w:t>
      </w:r>
      <w:r w:rsidRPr="00AD2FFE">
        <w:rPr>
          <w:color w:val="0070C0"/>
          <w:sz w:val="18"/>
        </w:rPr>
        <w:t>Anlage in Euro umgetauscht werden muss, so kann es sinnvoll sein, dies lieber sofort zu tun und das Geld in Euro-Schuldverschreibungen anzulegen.)</w:t>
      </w:r>
    </w:p>
    <w:p w:rsidR="00427CC3" w:rsidRDefault="00427CC3" w:rsidP="00BE4013"/>
    <w:p w:rsidR="00427CC3" w:rsidRDefault="00427CC3" w:rsidP="00215942">
      <w:pPr>
        <w:pStyle w:val="Listenabsatz"/>
        <w:numPr>
          <w:ilvl w:val="0"/>
          <w:numId w:val="1"/>
        </w:numPr>
      </w:pPr>
      <w:r>
        <w:t>Nennen Sie je ein Beispiel für Transaktionskosten von festverzinslichen Wertpapieren vor und während der Anlagezeit.</w:t>
      </w:r>
    </w:p>
    <w:p w:rsidR="00427CC3" w:rsidRDefault="00427CC3" w:rsidP="00BE4013"/>
    <w:p w:rsidR="00AD2FFE" w:rsidRPr="00AD2FFE" w:rsidRDefault="00AD2FFE" w:rsidP="00BE4013">
      <w:pPr>
        <w:rPr>
          <w:color w:val="FF0000"/>
        </w:rPr>
      </w:pPr>
      <w:r w:rsidRPr="00AD2FFE">
        <w:rPr>
          <w:color w:val="FF0000"/>
        </w:rPr>
        <w:t xml:space="preserve">Vorher: </w:t>
      </w:r>
    </w:p>
    <w:p w:rsidR="00AD2FFE" w:rsidRPr="00AD2FFE" w:rsidRDefault="00AD2FFE" w:rsidP="00BE4013">
      <w:pPr>
        <w:rPr>
          <w:color w:val="0070C0"/>
          <w:sz w:val="18"/>
        </w:rPr>
      </w:pPr>
      <w:r w:rsidRPr="00AD2FFE">
        <w:rPr>
          <w:color w:val="0070C0"/>
          <w:sz w:val="18"/>
        </w:rPr>
        <w:t>Eines aus:</w:t>
      </w:r>
    </w:p>
    <w:p w:rsidR="00AD2FFE" w:rsidRPr="00AD2FFE" w:rsidRDefault="00AD2FFE" w:rsidP="00AD2FFE">
      <w:pPr>
        <w:pStyle w:val="Listenabsatz"/>
        <w:numPr>
          <w:ilvl w:val="0"/>
          <w:numId w:val="3"/>
        </w:numPr>
        <w:rPr>
          <w:color w:val="FF0000"/>
        </w:rPr>
      </w:pPr>
      <w:r w:rsidRPr="00AD2FFE">
        <w:rPr>
          <w:color w:val="FF0000"/>
        </w:rPr>
        <w:t>Opportunitäts-Kosten für die Information über die gewählte und alternative Anlagen</w:t>
      </w:r>
    </w:p>
    <w:p w:rsidR="00AD2FFE" w:rsidRPr="00AD2FFE" w:rsidRDefault="00AD2FFE" w:rsidP="00AD2FFE">
      <w:pPr>
        <w:pStyle w:val="Listenabsatz"/>
        <w:numPr>
          <w:ilvl w:val="0"/>
          <w:numId w:val="3"/>
        </w:numPr>
        <w:rPr>
          <w:color w:val="FF0000"/>
        </w:rPr>
      </w:pPr>
      <w:r w:rsidRPr="00AD2FFE">
        <w:rPr>
          <w:color w:val="FF0000"/>
        </w:rPr>
        <w:t>Kaufgebühren</w:t>
      </w:r>
    </w:p>
    <w:p w:rsidR="00AD2FFE" w:rsidRPr="00AD2FFE" w:rsidRDefault="00AD2FFE" w:rsidP="00AD2FFE">
      <w:pPr>
        <w:pStyle w:val="Listenabsatz"/>
        <w:numPr>
          <w:ilvl w:val="0"/>
          <w:numId w:val="3"/>
        </w:numPr>
        <w:rPr>
          <w:color w:val="FF0000"/>
        </w:rPr>
      </w:pPr>
      <w:r w:rsidRPr="00AD2FFE">
        <w:rPr>
          <w:color w:val="FF0000"/>
        </w:rPr>
        <w:t>evtl. Kosten der Beratung</w:t>
      </w:r>
    </w:p>
    <w:p w:rsidR="00AD2FFE" w:rsidRPr="00AD2FFE" w:rsidRDefault="00AD2FFE" w:rsidP="00AD2FFE">
      <w:pPr>
        <w:rPr>
          <w:color w:val="FF0000"/>
        </w:rPr>
      </w:pPr>
      <w:r w:rsidRPr="00AD2FFE">
        <w:rPr>
          <w:color w:val="FF0000"/>
        </w:rPr>
        <w:t>Während:</w:t>
      </w:r>
    </w:p>
    <w:p w:rsidR="00AD2FFE" w:rsidRPr="00AD2FFE" w:rsidRDefault="00AD2FFE" w:rsidP="00AD2FFE">
      <w:pPr>
        <w:rPr>
          <w:color w:val="0070C0"/>
          <w:sz w:val="18"/>
        </w:rPr>
      </w:pPr>
      <w:r w:rsidRPr="00AD2FFE">
        <w:rPr>
          <w:color w:val="0070C0"/>
          <w:sz w:val="18"/>
        </w:rPr>
        <w:t>Eines aus:</w:t>
      </w:r>
    </w:p>
    <w:p w:rsidR="00AD2FFE" w:rsidRPr="00AD2FFE" w:rsidRDefault="00AD2FFE" w:rsidP="00AD2FFE">
      <w:pPr>
        <w:pStyle w:val="Listenabsatz"/>
        <w:numPr>
          <w:ilvl w:val="0"/>
          <w:numId w:val="4"/>
        </w:numPr>
        <w:rPr>
          <w:color w:val="FF0000"/>
        </w:rPr>
      </w:pPr>
      <w:r w:rsidRPr="00AD2FFE">
        <w:rPr>
          <w:color w:val="FF0000"/>
        </w:rPr>
        <w:t>Depotgebühren</w:t>
      </w:r>
    </w:p>
    <w:p w:rsidR="00AD2FFE" w:rsidRPr="00AD2FFE" w:rsidRDefault="00AD2FFE" w:rsidP="00AD2FFE">
      <w:pPr>
        <w:pStyle w:val="Listenabsatz"/>
        <w:numPr>
          <w:ilvl w:val="0"/>
          <w:numId w:val="4"/>
        </w:numPr>
        <w:rPr>
          <w:color w:val="FF0000"/>
        </w:rPr>
      </w:pPr>
      <w:r w:rsidRPr="00AD2FFE">
        <w:rPr>
          <w:color w:val="FF0000"/>
        </w:rPr>
        <w:t>Kosten für Couponeinlösung</w:t>
      </w:r>
    </w:p>
    <w:p w:rsidR="00AD2FFE" w:rsidRPr="00AD2FFE" w:rsidRDefault="00AD2FFE" w:rsidP="00AD2FFE">
      <w:pPr>
        <w:pStyle w:val="Listenabsatz"/>
        <w:numPr>
          <w:ilvl w:val="0"/>
          <w:numId w:val="4"/>
        </w:numPr>
        <w:rPr>
          <w:color w:val="FF0000"/>
        </w:rPr>
      </w:pPr>
      <w:r w:rsidRPr="00AD2FFE">
        <w:rPr>
          <w:color w:val="FF0000"/>
        </w:rPr>
        <w:t>Steuern</w:t>
      </w:r>
    </w:p>
    <w:p w:rsidR="00AD2FFE" w:rsidRPr="00AD2FFE" w:rsidRDefault="00AD2FFE" w:rsidP="00AD2FFE">
      <w:pPr>
        <w:pStyle w:val="Listenabsatz"/>
        <w:numPr>
          <w:ilvl w:val="0"/>
          <w:numId w:val="4"/>
        </w:numPr>
        <w:rPr>
          <w:color w:val="FF0000"/>
        </w:rPr>
      </w:pPr>
      <w:r w:rsidRPr="00AD2FFE">
        <w:rPr>
          <w:color w:val="FF0000"/>
        </w:rPr>
        <w:t>Kosten für steuerliche Beratung</w:t>
      </w:r>
    </w:p>
    <w:p w:rsidR="00427CC3" w:rsidRDefault="00427CC3" w:rsidP="00BE4013"/>
    <w:p w:rsidR="00427CC3" w:rsidRDefault="00427CC3" w:rsidP="00215942">
      <w:pPr>
        <w:pStyle w:val="Listenabsatz"/>
        <w:numPr>
          <w:ilvl w:val="0"/>
          <w:numId w:val="1"/>
        </w:numPr>
      </w:pPr>
      <w:r>
        <w:t>Wann können Sie zur Ermittlung des Realzinses im Sinne unserer Vorlesung die aktuelle Inflationsrate verwenden: bei sehr kurzen oder bei mittleren und langen Anlagezeiträumen?</w:t>
      </w:r>
    </w:p>
    <w:p w:rsidR="00427CC3" w:rsidRDefault="00427CC3" w:rsidP="00BE4013"/>
    <w:p w:rsidR="00AD2FFE" w:rsidRDefault="00AD2FFE" w:rsidP="00BE4013">
      <w:pPr>
        <w:rPr>
          <w:color w:val="FF0000"/>
        </w:rPr>
      </w:pPr>
      <w:r w:rsidRPr="00AD2FFE">
        <w:rPr>
          <w:color w:val="FF0000"/>
        </w:rPr>
        <w:t>Bei sehr kurzen</w:t>
      </w:r>
    </w:p>
    <w:p w:rsidR="00AD2FFE" w:rsidRDefault="00AD2FFE" w:rsidP="00BE4013">
      <w:pPr>
        <w:rPr>
          <w:color w:val="FF0000"/>
        </w:rPr>
      </w:pPr>
    </w:p>
    <w:p w:rsidR="00AD2FFE" w:rsidRPr="00AD2FFE" w:rsidRDefault="00AD2FFE" w:rsidP="00BE4013">
      <w:pPr>
        <w:rPr>
          <w:color w:val="FF0000"/>
        </w:rPr>
      </w:pPr>
      <w:r w:rsidRPr="008B0180">
        <w:rPr>
          <w:color w:val="0070C0"/>
          <w:sz w:val="18"/>
        </w:rPr>
        <w:t xml:space="preserve">Begründung falls verlangt: </w:t>
      </w:r>
      <w:r>
        <w:rPr>
          <w:color w:val="FF0000"/>
        </w:rPr>
        <w:t xml:space="preserve">Das Risiko einer deutlichen kurzfristigen Inflationsänderung ist – außer bei Hyperinflation – gering. </w:t>
      </w:r>
      <w:r w:rsidR="008B0180">
        <w:rPr>
          <w:color w:val="FF0000"/>
        </w:rPr>
        <w:t>Über längere Zeiträume hinweg kann eine geänderte Wirtschaftslage oder Notenbankpolitik zu spürbaren Veränderungen führen.</w:t>
      </w:r>
    </w:p>
    <w:p w:rsidR="00427CC3" w:rsidRDefault="00427CC3" w:rsidP="00BE4013"/>
    <w:p w:rsidR="00427CC3" w:rsidRDefault="00427CC3" w:rsidP="00215942">
      <w:pPr>
        <w:pStyle w:val="Listenabsatz"/>
        <w:numPr>
          <w:ilvl w:val="0"/>
          <w:numId w:val="1"/>
        </w:numPr>
      </w:pPr>
      <w:r>
        <w:t xml:space="preserve">Wenn Ihnen eine Bank zwei Euro-Anleihen mit gleicher Restlaufzeit anbietet, von denen die erste eine Rendite von 1% p.a. hat und die </w:t>
      </w:r>
      <w:r w:rsidR="00215942">
        <w:t>zweite eine Rendite von 3% p.a.: Worauf müssen Sie in besonderem Maße achten um einschätzen zu können, welches für Sie die attraktivere Geldanlage ist?</w:t>
      </w:r>
      <w:r>
        <w:t xml:space="preserve"> </w:t>
      </w:r>
    </w:p>
    <w:p w:rsidR="00215942" w:rsidRDefault="00215942" w:rsidP="00215942"/>
    <w:p w:rsidR="008B0180" w:rsidRPr="008B0180" w:rsidRDefault="008B0180" w:rsidP="00215942">
      <w:pPr>
        <w:rPr>
          <w:color w:val="FF0000"/>
        </w:rPr>
      </w:pPr>
      <w:r w:rsidRPr="008B0180">
        <w:rPr>
          <w:color w:val="FF0000"/>
        </w:rPr>
        <w:t>Auf das Risiko des Rückzahlungsausfalls bzw. die Bonität des Schuldners</w:t>
      </w:r>
    </w:p>
    <w:p w:rsidR="00215942" w:rsidRDefault="00215942" w:rsidP="00215942"/>
    <w:p w:rsidR="00215942" w:rsidRDefault="00215942" w:rsidP="00215942">
      <w:pPr>
        <w:pStyle w:val="Listenabsatz"/>
        <w:numPr>
          <w:ilvl w:val="0"/>
          <w:numId w:val="1"/>
        </w:numPr>
      </w:pPr>
      <w:r>
        <w:t>Ein Freund bietet Ihnen heute eine sichere 5jährige Geldanlage in Euro an mit einer Jahresrendite von 10%. Welche Information holen ein um Ihr Risiko beurteilen zu können?</w:t>
      </w:r>
    </w:p>
    <w:p w:rsidR="008B0180" w:rsidRDefault="008B0180" w:rsidP="008B0180"/>
    <w:p w:rsidR="008B0180" w:rsidRPr="008B0180" w:rsidRDefault="008B0180" w:rsidP="008B0180">
      <w:pPr>
        <w:rPr>
          <w:color w:val="FF0000"/>
        </w:rPr>
      </w:pPr>
      <w:bookmarkStart w:id="0" w:name="_GoBack"/>
      <w:r w:rsidRPr="008B0180">
        <w:rPr>
          <w:color w:val="FF0000"/>
        </w:rPr>
        <w:t>Rendite von risikoarmen Geldanlagen gleicher Laufzeit wie z.B. 10jährige Bundesanleihen.</w:t>
      </w:r>
    </w:p>
    <w:p w:rsidR="008B0180" w:rsidRPr="008B0180" w:rsidRDefault="008B0180" w:rsidP="008B0180">
      <w:pPr>
        <w:rPr>
          <w:color w:val="FF0000"/>
        </w:rPr>
      </w:pPr>
      <w:r w:rsidRPr="008B0180">
        <w:rPr>
          <w:color w:val="FF0000"/>
        </w:rPr>
        <w:t>Informationen zur wirtschaftlichen Lage des potenziellen Schuldners, dem Leumund der handelnden Personen, und dem relevanten wirtschaftlichen Umfeld des Schuldners.</w:t>
      </w:r>
      <w:bookmarkEnd w:id="0"/>
    </w:p>
    <w:sectPr w:rsidR="008B0180" w:rsidRPr="008B0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5B"/>
    <w:multiLevelType w:val="hybridMultilevel"/>
    <w:tmpl w:val="9A58A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C275244"/>
    <w:multiLevelType w:val="hybridMultilevel"/>
    <w:tmpl w:val="CC4C2C26"/>
    <w:lvl w:ilvl="0" w:tplc="8B0CC7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EC136A"/>
    <w:multiLevelType w:val="hybridMultilevel"/>
    <w:tmpl w:val="19F63E2A"/>
    <w:lvl w:ilvl="0" w:tplc="8B0CC7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CA03FF"/>
    <w:multiLevelType w:val="hybridMultilevel"/>
    <w:tmpl w:val="02B4EF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134EFA"/>
    <w:rsid w:val="001C7753"/>
    <w:rsid w:val="00215942"/>
    <w:rsid w:val="00241071"/>
    <w:rsid w:val="00257DFB"/>
    <w:rsid w:val="00427CC3"/>
    <w:rsid w:val="00474108"/>
    <w:rsid w:val="00613574"/>
    <w:rsid w:val="007C5666"/>
    <w:rsid w:val="008B0180"/>
    <w:rsid w:val="00A04800"/>
    <w:rsid w:val="00AD2FFE"/>
    <w:rsid w:val="00B47745"/>
    <w:rsid w:val="00BE4013"/>
    <w:rsid w:val="00C40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425B-E0BA-4DAD-8EC3-FE94BDB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753"/>
    <w:pPr>
      <w:ind w:left="720"/>
      <w:contextualSpacing/>
    </w:pPr>
    <w:rPr>
      <w:snapToGrid w:val="0"/>
      <w:szCs w:val="20"/>
      <w:lang w:eastAsia="de-DE"/>
    </w:rPr>
  </w:style>
  <w:style w:type="table" w:styleId="Tabellenraster">
    <w:name w:val="Table Grid"/>
    <w:basedOn w:val="NormaleTabelle"/>
    <w:uiPriority w:val="39"/>
    <w:rsid w:val="00BE401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2020-08-26T16:17:00Z</dcterms:created>
  <dcterms:modified xsi:type="dcterms:W3CDTF">2020-08-27T14:16:00Z</dcterms:modified>
</cp:coreProperties>
</file>