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13" w:rsidRPr="00A41936" w:rsidRDefault="00BE4013" w:rsidP="00BE4013">
      <w:pPr>
        <w:jc w:val="center"/>
        <w:rPr>
          <w:b/>
          <w:sz w:val="36"/>
          <w:szCs w:val="36"/>
        </w:rPr>
      </w:pPr>
      <w:r w:rsidRPr="00A41936">
        <w:rPr>
          <w:b/>
          <w:sz w:val="36"/>
          <w:szCs w:val="36"/>
        </w:rPr>
        <w:t>r4-1 Geldpolitik Grundlagen</w:t>
      </w:r>
    </w:p>
    <w:p w:rsidR="00BE4013" w:rsidRDefault="00BE4013" w:rsidP="00BE4013"/>
    <w:p w:rsidR="00BE4013" w:rsidRPr="00A41936" w:rsidRDefault="00902398" w:rsidP="00BE4013">
      <w:pPr>
        <w:rPr>
          <w:b/>
          <w:sz w:val="28"/>
          <w:szCs w:val="28"/>
        </w:rPr>
      </w:pPr>
      <w:r>
        <w:rPr>
          <w:b/>
          <w:sz w:val="28"/>
          <w:szCs w:val="28"/>
        </w:rPr>
        <w:t xml:space="preserve">Antworten zu </w:t>
      </w:r>
      <w:r w:rsidR="00BE4013" w:rsidRPr="00A41936">
        <w:rPr>
          <w:b/>
          <w:sz w:val="28"/>
          <w:szCs w:val="28"/>
        </w:rPr>
        <w:t>Fragen</w:t>
      </w:r>
      <w:r w:rsidR="00BE4013">
        <w:rPr>
          <w:b/>
          <w:sz w:val="28"/>
          <w:szCs w:val="28"/>
        </w:rPr>
        <w:t xml:space="preserve"> Folie 31-36</w:t>
      </w:r>
    </w:p>
    <w:p w:rsidR="007C5666" w:rsidRDefault="007C5666" w:rsidP="00BE4013"/>
    <w:p w:rsidR="00902398" w:rsidRPr="009D6979" w:rsidRDefault="00902398" w:rsidP="00902398">
      <w:pPr>
        <w:rPr>
          <w:color w:val="0070C0"/>
        </w:rPr>
      </w:pPr>
      <w:r w:rsidRPr="009D6979">
        <w:rPr>
          <w:color w:val="0070C0"/>
        </w:rPr>
        <w:t>blau: erläuternde Anmerkungen</w:t>
      </w:r>
    </w:p>
    <w:p w:rsidR="00902398" w:rsidRPr="009D6979" w:rsidRDefault="00902398" w:rsidP="00902398">
      <w:pPr>
        <w:rPr>
          <w:color w:val="FF0000"/>
        </w:rPr>
      </w:pPr>
      <w:r w:rsidRPr="009D6979">
        <w:rPr>
          <w:color w:val="FF0000"/>
        </w:rPr>
        <w:t>rot: geforderte Lösung</w:t>
      </w:r>
    </w:p>
    <w:p w:rsidR="00BE4013" w:rsidRDefault="00BE4013" w:rsidP="00BE4013"/>
    <w:p w:rsidR="00BE4013" w:rsidRDefault="00BE4013" w:rsidP="00BE4013">
      <w:pPr>
        <w:pStyle w:val="Listenabsatz"/>
        <w:numPr>
          <w:ilvl w:val="0"/>
          <w:numId w:val="1"/>
        </w:numPr>
      </w:pPr>
      <w:r>
        <w:t>Warum umfasst die Geldmenge nicht nur Zahlungsmittel?</w:t>
      </w:r>
    </w:p>
    <w:p w:rsidR="00BE4013" w:rsidRDefault="00BE4013" w:rsidP="00BE4013"/>
    <w:p w:rsidR="006A5C97" w:rsidRPr="00511AC7" w:rsidRDefault="00502DAA" w:rsidP="00BE4013">
      <w:pPr>
        <w:rPr>
          <w:color w:val="FF0000"/>
        </w:rPr>
      </w:pPr>
      <w:r w:rsidRPr="00511AC7">
        <w:rPr>
          <w:color w:val="FF0000"/>
        </w:rPr>
        <w:t xml:space="preserve">Geldsurrogate können mit geringem Aufwand und Risiko in Zahlungsmittel </w:t>
      </w:r>
      <w:r w:rsidR="006A5C97" w:rsidRPr="00511AC7">
        <w:rPr>
          <w:color w:val="FF0000"/>
        </w:rPr>
        <w:t xml:space="preserve">für Güterkäufe </w:t>
      </w:r>
      <w:r w:rsidRPr="00511AC7">
        <w:rPr>
          <w:color w:val="FF0000"/>
        </w:rPr>
        <w:t xml:space="preserve">umgewandelt werden. </w:t>
      </w:r>
      <w:r w:rsidR="00511AC7">
        <w:rPr>
          <w:color w:val="FF0000"/>
        </w:rPr>
        <w:t xml:space="preserve">Es wird deshalb unterstellt, dass sie als (vorübergehend verzinster) Geldvorrat für geplante Güterkäufe dienen. </w:t>
      </w:r>
      <w:r w:rsidRPr="00511AC7">
        <w:rPr>
          <w:color w:val="FF0000"/>
        </w:rPr>
        <w:t xml:space="preserve">Damit sind </w:t>
      </w:r>
      <w:r w:rsidR="006A5C97" w:rsidRPr="00511AC7">
        <w:rPr>
          <w:color w:val="FF0000"/>
        </w:rPr>
        <w:t>sie nachfragerelevant und können bei einem Nachfrageüberhang zu einem deutlichen Preisanstieg führen.</w:t>
      </w:r>
    </w:p>
    <w:p w:rsidR="00502DAA" w:rsidRDefault="006A5C97" w:rsidP="00BE4013">
      <w:r>
        <w:t xml:space="preserve"> </w:t>
      </w:r>
    </w:p>
    <w:p w:rsidR="00BE4013" w:rsidRDefault="00BE4013" w:rsidP="00BE4013">
      <w:pPr>
        <w:pStyle w:val="Listenabsatz"/>
        <w:numPr>
          <w:ilvl w:val="0"/>
          <w:numId w:val="1"/>
        </w:numPr>
      </w:pPr>
      <w:r>
        <w:t>Welche Voraussetzungen muss ein Geldsurrogat erfüllen oder nicht mehr erfüllen, damit es Sinn macht, dieses in die Geldmengendefinition einer Zentralbank aufzunehmen oder es daraus zu streichen?</w:t>
      </w:r>
    </w:p>
    <w:p w:rsidR="00BE4013" w:rsidRDefault="00BE4013" w:rsidP="00BE4013"/>
    <w:p w:rsidR="00511AC7" w:rsidRDefault="00511AC7" w:rsidP="00BE4013">
      <w:pPr>
        <w:rPr>
          <w:color w:val="FF0000"/>
        </w:rPr>
      </w:pPr>
      <w:r>
        <w:rPr>
          <w:color w:val="FF0000"/>
        </w:rPr>
        <w:t>Für die Aufnahme</w:t>
      </w:r>
      <w:r w:rsidRPr="00511AC7">
        <w:rPr>
          <w:color w:val="FF0000"/>
        </w:rPr>
        <w:t xml:space="preserve"> muss </w:t>
      </w:r>
      <w:r>
        <w:rPr>
          <w:color w:val="FF0000"/>
        </w:rPr>
        <w:t xml:space="preserve">es </w:t>
      </w:r>
      <w:r w:rsidRPr="00511AC7">
        <w:rPr>
          <w:color w:val="FF0000"/>
        </w:rPr>
        <w:t xml:space="preserve">sich um eine Forderung von einer Nichtbank gegen eine Bank handeln, bei der man davon ausgehen kann, dass nach Beendigung dieser Geldanlage </w:t>
      </w:r>
      <w:r>
        <w:rPr>
          <w:color w:val="FF0000"/>
        </w:rPr>
        <w:t>bei einer Vielzahl von Nichtbanken die</w:t>
      </w:r>
      <w:r w:rsidRPr="00511AC7">
        <w:rPr>
          <w:color w:val="FF0000"/>
        </w:rPr>
        <w:t xml:space="preserve"> Rückwandlung in Zahlungsmittel erfolgt mit der Absichten, Güter zu kaufen.</w:t>
      </w:r>
      <w:r>
        <w:rPr>
          <w:color w:val="FF0000"/>
        </w:rPr>
        <w:t xml:space="preserve"> </w:t>
      </w:r>
    </w:p>
    <w:p w:rsidR="00BE4013" w:rsidRPr="00511AC7" w:rsidRDefault="00511AC7" w:rsidP="00BE4013">
      <w:pPr>
        <w:rPr>
          <w:color w:val="FF0000"/>
        </w:rPr>
      </w:pPr>
      <w:r>
        <w:rPr>
          <w:color w:val="FF0000"/>
        </w:rPr>
        <w:t>Bestehen regelmäßig keine Güterkaufabsichten, sondern die Geldanlage wird in derselben oder einer anderen Form unbegrenzt weitergeführt, dann muss man dieses Surrogat aus der Geldmenge streichen.</w:t>
      </w:r>
    </w:p>
    <w:p w:rsidR="00511AC7" w:rsidRDefault="00511AC7" w:rsidP="00BE4013"/>
    <w:p w:rsidR="00BE4013" w:rsidRDefault="00BE4013" w:rsidP="00BE4013">
      <w:pPr>
        <w:pStyle w:val="Listenabsatz"/>
        <w:numPr>
          <w:ilvl w:val="0"/>
          <w:numId w:val="1"/>
        </w:numPr>
      </w:pPr>
      <w:r>
        <w:t>Warum hat die Zentralbank nicht nur eine Geldmengendefinition in Gebrauch?</w:t>
      </w:r>
    </w:p>
    <w:p w:rsidR="00BE4013" w:rsidRDefault="00BE4013" w:rsidP="00BE4013"/>
    <w:p w:rsidR="00BE4013" w:rsidRDefault="00511AC7" w:rsidP="00BE4013">
      <w:pPr>
        <w:rPr>
          <w:color w:val="FF0000"/>
        </w:rPr>
      </w:pPr>
      <w:r w:rsidRPr="00BB4BAC">
        <w:rPr>
          <w:color w:val="FF0000"/>
        </w:rPr>
        <w:t xml:space="preserve">Letztlich handelt es sich um so etwas wie ein abgestuftes Frühwarnsystem. Am nächsten dran am Stadium der Inflationsrelevanz sind die Zahlungsmittelbestände, also M1. Wer sich Güter kaufen will, bevorzugt oft Geldanlagen mit stabilem Erwartungswert. Deshalb zählen zu M2 neben den Zahlungsmitteln auch Geldanlagen ohne Kursrisiko. Bei einem entsprechenden Renditevorsprung </w:t>
      </w:r>
      <w:r w:rsidR="00BB4BAC" w:rsidRPr="00BB4BAC">
        <w:rPr>
          <w:color w:val="FF0000"/>
        </w:rPr>
        <w:t xml:space="preserve">für längere Laufzeiten </w:t>
      </w:r>
      <w:r w:rsidRPr="00BB4BAC">
        <w:rPr>
          <w:color w:val="FF0000"/>
        </w:rPr>
        <w:t xml:space="preserve">wird man evtl. Geldanlagen mit geringem Wertänderungsrisiko mit in die Anlagepalette aufnehmen, wenn man Geld für Güterkäufe bevorratet. Somit wird M2 ergänzt um kurzlaufende bzw. variabel verzinste Wertpapiere </w:t>
      </w:r>
      <w:r w:rsidR="00BB4BAC" w:rsidRPr="00BB4BAC">
        <w:rPr>
          <w:color w:val="FF0000"/>
        </w:rPr>
        <w:t>und Pensionsgeschäfte. Damit entsteht M3.</w:t>
      </w:r>
    </w:p>
    <w:p w:rsidR="00BB4BAC" w:rsidRPr="00BB4BAC" w:rsidRDefault="00BB4BAC" w:rsidP="00BE4013">
      <w:pPr>
        <w:rPr>
          <w:color w:val="FF0000"/>
        </w:rPr>
      </w:pPr>
      <w:r>
        <w:rPr>
          <w:color w:val="FF0000"/>
        </w:rPr>
        <w:t>Ändert sich die Zinsstruktur (r4-2, Folie 27 ff.), so kann es zu Verschiebungen zwischen den Anlageformen kommen. Wäre der Blick nur auf M2 oder M1 gerichtet, so wäre deren Anstieg u.U. sehr überraschend.</w:t>
      </w:r>
    </w:p>
    <w:p w:rsidR="00511AC7" w:rsidRDefault="00511AC7" w:rsidP="00BE4013"/>
    <w:p w:rsidR="00BE4013" w:rsidRDefault="00BE4013" w:rsidP="00BE4013">
      <w:pPr>
        <w:pStyle w:val="Listenabsatz"/>
        <w:numPr>
          <w:ilvl w:val="0"/>
          <w:numId w:val="1"/>
        </w:numPr>
      </w:pPr>
      <w:r>
        <w:t>Wie ist der Geldmarkt vom Kapitalmarkt abgegrenzt?</w:t>
      </w:r>
    </w:p>
    <w:p w:rsidR="00BE4013" w:rsidRDefault="00BE4013" w:rsidP="00BE4013"/>
    <w:p w:rsidR="00BE4013" w:rsidRPr="00BB4BAC" w:rsidRDefault="00BB4BAC" w:rsidP="00BE4013">
      <w:pPr>
        <w:rPr>
          <w:color w:val="FF0000"/>
        </w:rPr>
      </w:pPr>
      <w:r w:rsidRPr="00BB4BAC">
        <w:rPr>
          <w:color w:val="FF0000"/>
        </w:rPr>
        <w:t>Als Geldmarkt bezeichnet man Anlage- und Kreditangebote mit einer Laufzeit bis zu einem Jahr, als Kapitalmarkt bezeichnet man Angebot und Nachfrage für Finanzprodukte mit Laufzeiten über einem Jahr.</w:t>
      </w:r>
    </w:p>
    <w:p w:rsidR="00BB4BAC" w:rsidRDefault="00BB4BAC" w:rsidP="00BE4013"/>
    <w:p w:rsidR="00BE4013" w:rsidRDefault="00BE4013" w:rsidP="00BE4013">
      <w:pPr>
        <w:pStyle w:val="Listenabsatz"/>
        <w:numPr>
          <w:ilvl w:val="0"/>
          <w:numId w:val="1"/>
        </w:numPr>
      </w:pPr>
      <w:r>
        <w:t>Gibt es einen Kapitalmarktbestandteil, der in die Geldmenge M3 integriert ist?</w:t>
      </w:r>
    </w:p>
    <w:p w:rsidR="00BE4013" w:rsidRDefault="00BE4013" w:rsidP="00BE4013"/>
    <w:p w:rsidR="00BE4013" w:rsidRPr="00BB4BAC" w:rsidRDefault="00BB4BAC" w:rsidP="00BE4013">
      <w:pPr>
        <w:rPr>
          <w:color w:val="FF0000"/>
        </w:rPr>
      </w:pPr>
      <w:r w:rsidRPr="00BB4BAC">
        <w:rPr>
          <w:color w:val="FF0000"/>
        </w:rPr>
        <w:t>Es gibt zwei: Termingelder und Bankschulverschreibungen mit Laufzeiten von mehr als einem bis zu zwei Jahren.</w:t>
      </w:r>
    </w:p>
    <w:p w:rsidR="00BB4BAC" w:rsidRDefault="00BB4BAC" w:rsidP="00BE4013"/>
    <w:p w:rsidR="00BE4013" w:rsidRDefault="00BE4013" w:rsidP="00BE4013">
      <w:pPr>
        <w:pStyle w:val="Listenabsatz"/>
        <w:numPr>
          <w:ilvl w:val="0"/>
          <w:numId w:val="1"/>
        </w:numPr>
      </w:pPr>
      <w:r>
        <w:t>Zählen die Euroguthaben auf dem Girokonto einer serbischen Bank bei der Deutschen Bank in Frankfurt zur Geldmenge?</w:t>
      </w:r>
    </w:p>
    <w:p w:rsidR="00BE4013" w:rsidRDefault="00BE4013" w:rsidP="00BE4013"/>
    <w:p w:rsidR="00BB4BAC" w:rsidRDefault="00BB4BAC" w:rsidP="00BE4013">
      <w:r w:rsidRPr="00BB4BAC">
        <w:rPr>
          <w:color w:val="0070C0"/>
        </w:rPr>
        <w:lastRenderedPageBreak/>
        <w:t xml:space="preserve">Achtung Dozentenfehler: es war keine Begründung verlangt. Deshalb reicht als Antwort ein </w:t>
      </w:r>
      <w:proofErr w:type="gramStart"/>
      <w:r w:rsidRPr="00BB4BAC">
        <w:rPr>
          <w:color w:val="0070C0"/>
        </w:rPr>
        <w:t>einfaches</w:t>
      </w:r>
      <w:proofErr w:type="gramEnd"/>
      <w:r w:rsidRPr="00BB4BAC">
        <w:rPr>
          <w:color w:val="0070C0"/>
        </w:rPr>
        <w:t xml:space="preserve"> </w:t>
      </w:r>
      <w:r>
        <w:t>„</w:t>
      </w:r>
      <w:r w:rsidRPr="00BB4BAC">
        <w:rPr>
          <w:color w:val="FF0000"/>
        </w:rPr>
        <w:t>nein</w:t>
      </w:r>
      <w:r>
        <w:t>“.</w:t>
      </w:r>
    </w:p>
    <w:p w:rsidR="00BB4BAC" w:rsidRDefault="00BB4BAC" w:rsidP="00BE4013"/>
    <w:p w:rsidR="00BE4013" w:rsidRDefault="00BB4BAC" w:rsidP="00BE4013">
      <w:r w:rsidRPr="00BB4BAC">
        <w:rPr>
          <w:color w:val="0070C0"/>
        </w:rPr>
        <w:t>Falls Begründung verlangt ist:</w:t>
      </w:r>
      <w:r>
        <w:t xml:space="preserve"> </w:t>
      </w:r>
      <w:r w:rsidRPr="00BB4BAC">
        <w:rPr>
          <w:color w:val="FF0000"/>
        </w:rPr>
        <w:t>Sie zählen nicht dazu, da es sich um Forderungen einer Bank an eine andere Bank handelt.</w:t>
      </w:r>
    </w:p>
    <w:p w:rsidR="00BB4BAC" w:rsidRDefault="00BB4BAC" w:rsidP="00BE4013"/>
    <w:p w:rsidR="00BE4013" w:rsidRDefault="00BE4013" w:rsidP="00BE4013">
      <w:pPr>
        <w:pStyle w:val="Listenabsatz"/>
        <w:numPr>
          <w:ilvl w:val="0"/>
          <w:numId w:val="1"/>
        </w:numPr>
      </w:pPr>
      <w:r>
        <w:t>Was vergrößert die Geldmenge: eine Bargeldabhebung aus Giroguthaben oder aus Dispokredit?</w:t>
      </w:r>
    </w:p>
    <w:p w:rsidR="00BE4013" w:rsidRDefault="00BE4013" w:rsidP="00BE4013"/>
    <w:p w:rsidR="00BB4BAC" w:rsidRPr="0090237C" w:rsidRDefault="00BB4BAC" w:rsidP="00BE4013">
      <w:pPr>
        <w:rPr>
          <w:color w:val="FF0000"/>
        </w:rPr>
      </w:pPr>
      <w:r w:rsidRPr="0090237C">
        <w:rPr>
          <w:color w:val="FF0000"/>
        </w:rPr>
        <w:t>Abhebung aus Dispokredit.</w:t>
      </w:r>
    </w:p>
    <w:p w:rsidR="00BE4013" w:rsidRPr="0090237C" w:rsidRDefault="00BB4BAC" w:rsidP="00BE4013">
      <w:pPr>
        <w:rPr>
          <w:color w:val="0070C0"/>
        </w:rPr>
      </w:pPr>
      <w:r w:rsidRPr="0090237C">
        <w:rPr>
          <w:color w:val="0070C0"/>
        </w:rPr>
        <w:t>Begründung, falls verlangt: Abhebung aus Guthaben ist nur ein Tausch innerhalb von M1. Es wird dieselbe Menge Giroguthaben</w:t>
      </w:r>
      <w:r w:rsidR="0090237C" w:rsidRPr="0090237C">
        <w:rPr>
          <w:color w:val="0070C0"/>
        </w:rPr>
        <w:t>forderung gegen die Geschäftsbank</w:t>
      </w:r>
      <w:r w:rsidRPr="0090237C">
        <w:rPr>
          <w:color w:val="0070C0"/>
        </w:rPr>
        <w:t xml:space="preserve"> aufgegeben</w:t>
      </w:r>
      <w:r w:rsidR="0090237C" w:rsidRPr="0090237C">
        <w:rPr>
          <w:color w:val="0070C0"/>
        </w:rPr>
        <w:t>, wie durch das Bargeld Forderung gegen die Zentralbank erworben wird.</w:t>
      </w:r>
      <w:r w:rsidR="0090237C">
        <w:rPr>
          <w:color w:val="0070C0"/>
        </w:rPr>
        <w:t xml:space="preserve"> Beim Kredit schöpft die Bank neues Geld.</w:t>
      </w:r>
    </w:p>
    <w:p w:rsidR="00BB4BAC" w:rsidRPr="0090237C" w:rsidRDefault="00BB4BAC" w:rsidP="00BE4013">
      <w:pPr>
        <w:rPr>
          <w:color w:val="0070C0"/>
        </w:rPr>
      </w:pPr>
    </w:p>
    <w:p w:rsidR="00BE4013" w:rsidRDefault="00BE4013" w:rsidP="00BE4013">
      <w:pPr>
        <w:pStyle w:val="Listenabsatz"/>
        <w:numPr>
          <w:ilvl w:val="0"/>
          <w:numId w:val="1"/>
        </w:numPr>
      </w:pPr>
      <w:r>
        <w:t xml:space="preserve">Was ist ganz allgemein ein </w:t>
      </w:r>
      <w:proofErr w:type="spellStart"/>
      <w:r>
        <w:t>Repo</w:t>
      </w:r>
      <w:proofErr w:type="spellEnd"/>
      <w:r>
        <w:t>- oder Pensionsgeschäft?</w:t>
      </w:r>
    </w:p>
    <w:p w:rsidR="00BE4013" w:rsidRDefault="00BE4013" w:rsidP="00BE4013"/>
    <w:p w:rsidR="0090237C" w:rsidRDefault="0090237C" w:rsidP="00BE4013">
      <w:pPr>
        <w:rPr>
          <w:color w:val="FF0000"/>
        </w:rPr>
      </w:pPr>
      <w:r w:rsidRPr="0090237C">
        <w:rPr>
          <w:color w:val="FF0000"/>
        </w:rPr>
        <w:t>Ein Geschäft, bei dem befristet ein Vermögensgegenstand an eine andere Wirtschaftseinheit verkauft und zugleich die Verpflichtung eingegangen wird, diesen Gegenstand wieder zurückzukaufen.</w:t>
      </w:r>
    </w:p>
    <w:p w:rsidR="0090237C" w:rsidRPr="0090237C" w:rsidRDefault="0090237C" w:rsidP="00BE4013">
      <w:pPr>
        <w:rPr>
          <w:color w:val="0070C0"/>
          <w:sz w:val="18"/>
        </w:rPr>
      </w:pPr>
      <w:r w:rsidRPr="0090237C">
        <w:rPr>
          <w:color w:val="0070C0"/>
          <w:sz w:val="18"/>
        </w:rPr>
        <w:t xml:space="preserve">Würde nach dem Zweck gefragt, so wäre die Antwort: Liquiditätsbeschaffung als </w:t>
      </w:r>
      <w:r w:rsidRPr="0090237C">
        <w:rPr>
          <w:color w:val="0070C0"/>
          <w:sz w:val="18"/>
        </w:rPr>
        <w:t xml:space="preserve">kurzfristige </w:t>
      </w:r>
      <w:r w:rsidRPr="0090237C">
        <w:rPr>
          <w:color w:val="0070C0"/>
          <w:sz w:val="18"/>
        </w:rPr>
        <w:t>Überbrückung.</w:t>
      </w:r>
    </w:p>
    <w:p w:rsidR="0090237C" w:rsidRPr="0090237C" w:rsidRDefault="0090237C" w:rsidP="00BE4013">
      <w:pPr>
        <w:rPr>
          <w:color w:val="0070C0"/>
          <w:sz w:val="18"/>
        </w:rPr>
      </w:pPr>
      <w:r w:rsidRPr="0090237C">
        <w:rPr>
          <w:color w:val="0070C0"/>
          <w:sz w:val="18"/>
        </w:rPr>
        <w:t>Hinweis: es war kein Hinweis auf die Geldmenge in der Frage; deshalb muss auch nicht erwähnt werden, dass eine Bank Erstverkäufer und Rückerwerber ist sowie eine Nichtbank der Liquiditätsgeber.</w:t>
      </w:r>
    </w:p>
    <w:p w:rsidR="00BE4013" w:rsidRDefault="00BE4013" w:rsidP="00BE4013"/>
    <w:p w:rsidR="00BE4013" w:rsidRPr="00134EFA" w:rsidRDefault="00BE4013" w:rsidP="00134EFA">
      <w:pPr>
        <w:pStyle w:val="Listenabsatz"/>
        <w:numPr>
          <w:ilvl w:val="0"/>
          <w:numId w:val="1"/>
        </w:numPr>
      </w:pPr>
      <w:r w:rsidRPr="00134EFA">
        <w:t>Annahme: Es gibt keine Transaktionskosten, keine Zwischentransaktionen und keine Weiterverwendung erworbener Zahlungsmittel.</w:t>
      </w:r>
      <w:r w:rsidRPr="00134EFA">
        <w:br/>
        <w:t>Welches der drei Geldmengenaggregate der Europäischen Zentralbank (EZB) ändert sich wie (richtige Lösung ankreuzen), wenn</w:t>
      </w:r>
    </w:p>
    <w:p w:rsidR="00BE4013" w:rsidRPr="00E46F9B" w:rsidRDefault="00BE4013" w:rsidP="00BE4013"/>
    <w:p w:rsidR="00BE4013" w:rsidRPr="00134EFA" w:rsidRDefault="00BE4013" w:rsidP="00BE4013">
      <w:pPr>
        <w:tabs>
          <w:tab w:val="left" w:pos="426"/>
        </w:tabs>
        <w:ind w:left="426" w:hanging="426"/>
      </w:pPr>
      <w:r w:rsidRPr="00134EFA">
        <w:t xml:space="preserve">a) </w:t>
      </w:r>
      <w:r w:rsidRPr="00134EFA">
        <w:tab/>
        <w:t xml:space="preserve">die Geschäftsbanken der Eurozone auf Euro lautende Schuldverschreibungen mit einer Restlaufzeit von mehr als 2 Jahren an Bürger der USA verkaufen:  </w:t>
      </w:r>
    </w:p>
    <w:p w:rsidR="00BE4013" w:rsidRDefault="00BE4013" w:rsidP="00BE4013">
      <w:pPr>
        <w:rPr>
          <w:color w:val="FF0000"/>
        </w:rPr>
      </w:pPr>
    </w:p>
    <w:tbl>
      <w:tblPr>
        <w:tblStyle w:val="Tabellenraster"/>
        <w:tblpPr w:leftFromText="141" w:rightFromText="141" w:vertAnchor="text" w:horzAnchor="page" w:tblpX="6691" w:tblpYSpec="outside"/>
        <w:tblW w:w="0" w:type="auto"/>
        <w:tblLook w:val="04A0" w:firstRow="1" w:lastRow="0" w:firstColumn="1" w:lastColumn="0" w:noHBand="0" w:noVBand="1"/>
      </w:tblPr>
      <w:tblGrid>
        <w:gridCol w:w="516"/>
        <w:gridCol w:w="728"/>
        <w:gridCol w:w="564"/>
        <w:gridCol w:w="1330"/>
      </w:tblGrid>
      <w:tr w:rsidR="00BE4013" w:rsidRPr="002F736A" w:rsidTr="0064559C">
        <w:tc>
          <w:tcPr>
            <w:tcW w:w="0" w:type="auto"/>
          </w:tcPr>
          <w:p w:rsidR="00BE4013" w:rsidRPr="0070031D" w:rsidRDefault="00BE4013" w:rsidP="0064559C">
            <w:pPr>
              <w:rPr>
                <w:rFonts w:cs="Arial"/>
              </w:rPr>
            </w:pPr>
          </w:p>
        </w:tc>
        <w:tc>
          <w:tcPr>
            <w:tcW w:w="0" w:type="auto"/>
          </w:tcPr>
          <w:p w:rsidR="00BE4013" w:rsidRPr="002F736A" w:rsidRDefault="00BE4013" w:rsidP="0064559C">
            <w:pPr>
              <w:rPr>
                <w:rFonts w:cs="Arial"/>
              </w:rPr>
            </w:pPr>
            <w:r w:rsidRPr="002F736A">
              <w:rPr>
                <w:rFonts w:cs="Arial"/>
              </w:rPr>
              <w:t>Steigt</w:t>
            </w:r>
          </w:p>
        </w:tc>
        <w:tc>
          <w:tcPr>
            <w:tcW w:w="0" w:type="auto"/>
          </w:tcPr>
          <w:p w:rsidR="00BE4013" w:rsidRPr="002F736A" w:rsidRDefault="00BE4013" w:rsidP="0064559C">
            <w:pPr>
              <w:rPr>
                <w:rFonts w:cs="Arial"/>
              </w:rPr>
            </w:pPr>
            <w:r w:rsidRPr="002F736A">
              <w:rPr>
                <w:rFonts w:cs="Arial"/>
              </w:rPr>
              <w:t>fällt</w:t>
            </w:r>
          </w:p>
        </w:tc>
        <w:tc>
          <w:tcPr>
            <w:tcW w:w="0" w:type="auto"/>
          </w:tcPr>
          <w:p w:rsidR="00BE4013" w:rsidRPr="002F736A" w:rsidRDefault="00BE4013" w:rsidP="0064559C">
            <w:pPr>
              <w:rPr>
                <w:rFonts w:cs="Arial"/>
              </w:rPr>
            </w:pPr>
            <w:r w:rsidRPr="002F736A">
              <w:rPr>
                <w:rFonts w:cs="Arial"/>
              </w:rPr>
              <w:t xml:space="preserve">bleibt </w:t>
            </w:r>
            <w:r w:rsidRPr="002F736A">
              <w:rPr>
                <w:rFonts w:cs="Arial"/>
              </w:rPr>
              <w:br/>
              <w:t>unverändert</w:t>
            </w:r>
          </w:p>
        </w:tc>
      </w:tr>
      <w:tr w:rsidR="00BE4013" w:rsidRPr="002F736A" w:rsidTr="0064559C">
        <w:tc>
          <w:tcPr>
            <w:tcW w:w="0" w:type="auto"/>
          </w:tcPr>
          <w:p w:rsidR="00BE4013" w:rsidRPr="002F736A" w:rsidRDefault="00BE4013" w:rsidP="0064559C">
            <w:pPr>
              <w:rPr>
                <w:rFonts w:cs="Arial"/>
              </w:rPr>
            </w:pPr>
            <w:r w:rsidRPr="002F736A">
              <w:rPr>
                <w:rFonts w:cs="Arial"/>
              </w:rPr>
              <w:t>M1</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90237C" w:rsidRDefault="0090237C" w:rsidP="0064559C">
            <w:pPr>
              <w:jc w:val="center"/>
              <w:rPr>
                <w:rFonts w:cs="Arial"/>
                <w:color w:val="FF0000"/>
              </w:rPr>
            </w:pPr>
            <w:r w:rsidRPr="0090237C">
              <w:rPr>
                <w:rFonts w:cs="Arial"/>
                <w:color w:val="FF0000"/>
              </w:rPr>
              <w:t>X</w:t>
            </w:r>
          </w:p>
        </w:tc>
      </w:tr>
      <w:tr w:rsidR="00BE4013" w:rsidRPr="002F736A" w:rsidTr="0064559C">
        <w:tc>
          <w:tcPr>
            <w:tcW w:w="0" w:type="auto"/>
          </w:tcPr>
          <w:p w:rsidR="00BE4013" w:rsidRPr="002F736A" w:rsidRDefault="00BE4013" w:rsidP="0064559C">
            <w:pPr>
              <w:rPr>
                <w:rFonts w:cs="Arial"/>
              </w:rPr>
            </w:pPr>
            <w:r w:rsidRPr="002F736A">
              <w:rPr>
                <w:rFonts w:cs="Arial"/>
              </w:rPr>
              <w:t>M2</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90237C" w:rsidRDefault="0090237C" w:rsidP="0064559C">
            <w:pPr>
              <w:jc w:val="center"/>
              <w:rPr>
                <w:rFonts w:cs="Arial"/>
                <w:color w:val="FF0000"/>
              </w:rPr>
            </w:pPr>
            <w:r w:rsidRPr="0090237C">
              <w:rPr>
                <w:rFonts w:cs="Arial"/>
                <w:color w:val="FF0000"/>
              </w:rPr>
              <w:t>X</w:t>
            </w:r>
          </w:p>
        </w:tc>
      </w:tr>
      <w:tr w:rsidR="00BE4013" w:rsidRPr="002F736A" w:rsidTr="0064559C">
        <w:tc>
          <w:tcPr>
            <w:tcW w:w="0" w:type="auto"/>
          </w:tcPr>
          <w:p w:rsidR="00BE4013" w:rsidRPr="002F736A" w:rsidRDefault="00BE4013" w:rsidP="0064559C">
            <w:pPr>
              <w:rPr>
                <w:rFonts w:cs="Arial"/>
              </w:rPr>
            </w:pPr>
            <w:r w:rsidRPr="002F736A">
              <w:rPr>
                <w:rFonts w:cs="Arial"/>
              </w:rPr>
              <w:t>M3</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90237C" w:rsidRDefault="0090237C" w:rsidP="0064559C">
            <w:pPr>
              <w:jc w:val="center"/>
              <w:rPr>
                <w:rFonts w:cs="Arial"/>
                <w:color w:val="FF0000"/>
              </w:rPr>
            </w:pPr>
            <w:r w:rsidRPr="0090237C">
              <w:rPr>
                <w:rFonts w:cs="Arial"/>
                <w:color w:val="FF0000"/>
              </w:rPr>
              <w:t>X</w:t>
            </w:r>
          </w:p>
        </w:tc>
      </w:tr>
    </w:tbl>
    <w:p w:rsidR="00BE4013" w:rsidRDefault="00BE4013" w:rsidP="00BE4013"/>
    <w:p w:rsidR="00BE4013" w:rsidRDefault="00BE4013" w:rsidP="00BE4013"/>
    <w:p w:rsidR="00BE4013" w:rsidRDefault="00BE4013" w:rsidP="00BE4013"/>
    <w:p w:rsidR="00BE4013" w:rsidRDefault="00BE4013" w:rsidP="00BE4013"/>
    <w:p w:rsidR="00BE4013" w:rsidRDefault="00BE4013" w:rsidP="00BE4013"/>
    <w:p w:rsidR="0090237C" w:rsidRDefault="0090237C" w:rsidP="00BE4013"/>
    <w:p w:rsidR="00BE4013" w:rsidRPr="0090237C" w:rsidRDefault="00D9439D" w:rsidP="00BE4013">
      <w:pPr>
        <w:rPr>
          <w:color w:val="0070C0"/>
          <w:sz w:val="18"/>
          <w:szCs w:val="18"/>
        </w:rPr>
      </w:pPr>
      <w:r>
        <w:rPr>
          <w:color w:val="0070C0"/>
          <w:sz w:val="18"/>
          <w:szCs w:val="18"/>
        </w:rPr>
        <w:t>E</w:t>
      </w:r>
      <w:r w:rsidR="0090237C" w:rsidRPr="0090237C">
        <w:rPr>
          <w:color w:val="0070C0"/>
          <w:sz w:val="18"/>
          <w:szCs w:val="18"/>
        </w:rPr>
        <w:t>s bestehen keine Forderungen von Nichtbanken der Eurozone gegen Banken und selbst in dem Fall, dass die Erwerber Bürger der Eurozone wären, wäre die Laufzeit zu lang für M3</w:t>
      </w:r>
    </w:p>
    <w:p w:rsidR="0090237C" w:rsidRPr="00E46F9B" w:rsidRDefault="0090237C" w:rsidP="00BE4013"/>
    <w:p w:rsidR="00BE4013" w:rsidRPr="00134EFA" w:rsidRDefault="00BE4013" w:rsidP="00BE4013">
      <w:pPr>
        <w:tabs>
          <w:tab w:val="left" w:pos="426"/>
        </w:tabs>
        <w:ind w:left="426" w:hanging="426"/>
      </w:pPr>
      <w:r w:rsidRPr="00134EFA">
        <w:t xml:space="preserve">b) </w:t>
      </w:r>
      <w:r w:rsidRPr="00134EFA">
        <w:tab/>
        <w:t xml:space="preserve">die Geschäftsbanken der USA auf Dollar lautende Schuldverschreibungen mit einer Restlaufzeit von mehr als 2 Jahren an Bürger der Eurozone verkaufen: </w:t>
      </w:r>
    </w:p>
    <w:p w:rsidR="00BE4013" w:rsidRPr="00134EFA" w:rsidRDefault="00BE4013" w:rsidP="00BE4013"/>
    <w:tbl>
      <w:tblPr>
        <w:tblStyle w:val="Tabellenraster"/>
        <w:tblpPr w:leftFromText="141" w:rightFromText="141" w:vertAnchor="text" w:horzAnchor="page" w:tblpX="6691" w:tblpYSpec="outside"/>
        <w:tblW w:w="0" w:type="auto"/>
        <w:tblLook w:val="04A0" w:firstRow="1" w:lastRow="0" w:firstColumn="1" w:lastColumn="0" w:noHBand="0" w:noVBand="1"/>
      </w:tblPr>
      <w:tblGrid>
        <w:gridCol w:w="516"/>
        <w:gridCol w:w="728"/>
        <w:gridCol w:w="564"/>
        <w:gridCol w:w="1330"/>
      </w:tblGrid>
      <w:tr w:rsidR="00BE4013" w:rsidRPr="002F736A" w:rsidTr="0064559C">
        <w:tc>
          <w:tcPr>
            <w:tcW w:w="0" w:type="auto"/>
          </w:tcPr>
          <w:p w:rsidR="00BE4013" w:rsidRPr="0070031D" w:rsidRDefault="00BE4013" w:rsidP="0064559C">
            <w:pPr>
              <w:rPr>
                <w:rFonts w:cs="Arial"/>
              </w:rPr>
            </w:pPr>
          </w:p>
        </w:tc>
        <w:tc>
          <w:tcPr>
            <w:tcW w:w="0" w:type="auto"/>
          </w:tcPr>
          <w:p w:rsidR="00BE4013" w:rsidRPr="002F736A" w:rsidRDefault="00BE4013" w:rsidP="0064559C">
            <w:pPr>
              <w:rPr>
                <w:rFonts w:cs="Arial"/>
              </w:rPr>
            </w:pPr>
            <w:r w:rsidRPr="002F736A">
              <w:rPr>
                <w:rFonts w:cs="Arial"/>
              </w:rPr>
              <w:t>Steigt</w:t>
            </w:r>
          </w:p>
        </w:tc>
        <w:tc>
          <w:tcPr>
            <w:tcW w:w="0" w:type="auto"/>
          </w:tcPr>
          <w:p w:rsidR="00BE4013" w:rsidRPr="002F736A" w:rsidRDefault="00BE4013" w:rsidP="0064559C">
            <w:pPr>
              <w:rPr>
                <w:rFonts w:cs="Arial"/>
              </w:rPr>
            </w:pPr>
            <w:r w:rsidRPr="002F736A">
              <w:rPr>
                <w:rFonts w:cs="Arial"/>
              </w:rPr>
              <w:t>fällt</w:t>
            </w:r>
          </w:p>
        </w:tc>
        <w:tc>
          <w:tcPr>
            <w:tcW w:w="0" w:type="auto"/>
          </w:tcPr>
          <w:p w:rsidR="00BE4013" w:rsidRPr="002F736A" w:rsidRDefault="00BE4013" w:rsidP="0064559C">
            <w:pPr>
              <w:rPr>
                <w:rFonts w:cs="Arial"/>
              </w:rPr>
            </w:pPr>
            <w:r w:rsidRPr="002F736A">
              <w:rPr>
                <w:rFonts w:cs="Arial"/>
              </w:rPr>
              <w:t xml:space="preserve">bleibt </w:t>
            </w:r>
            <w:r w:rsidRPr="002F736A">
              <w:rPr>
                <w:rFonts w:cs="Arial"/>
              </w:rPr>
              <w:br/>
              <w:t>unverändert</w:t>
            </w:r>
          </w:p>
        </w:tc>
      </w:tr>
      <w:tr w:rsidR="00BE4013" w:rsidRPr="002F736A" w:rsidTr="0064559C">
        <w:tc>
          <w:tcPr>
            <w:tcW w:w="0" w:type="auto"/>
          </w:tcPr>
          <w:p w:rsidR="00BE4013" w:rsidRPr="002F736A" w:rsidRDefault="00BE4013" w:rsidP="0064559C">
            <w:pPr>
              <w:rPr>
                <w:rFonts w:cs="Arial"/>
              </w:rPr>
            </w:pPr>
            <w:r w:rsidRPr="002F736A">
              <w:rPr>
                <w:rFonts w:cs="Arial"/>
              </w:rPr>
              <w:t>M1</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D9439D" w:rsidRDefault="00D9439D" w:rsidP="0064559C">
            <w:pPr>
              <w:jc w:val="center"/>
              <w:rPr>
                <w:rFonts w:cs="Arial"/>
                <w:color w:val="FF0000"/>
              </w:rPr>
            </w:pPr>
            <w:r w:rsidRPr="00D9439D">
              <w:rPr>
                <w:rFonts w:cs="Arial"/>
                <w:color w:val="FF0000"/>
              </w:rPr>
              <w:t>X</w:t>
            </w:r>
          </w:p>
        </w:tc>
        <w:tc>
          <w:tcPr>
            <w:tcW w:w="0" w:type="auto"/>
          </w:tcPr>
          <w:p w:rsidR="00BE4013" w:rsidRPr="002F736A" w:rsidRDefault="00BE4013" w:rsidP="0064559C">
            <w:pPr>
              <w:jc w:val="center"/>
              <w:rPr>
                <w:rFonts w:cs="Arial"/>
              </w:rPr>
            </w:pPr>
            <w:r w:rsidRPr="002F736A">
              <w:rPr>
                <w:rFonts w:cs="Arial"/>
              </w:rPr>
              <w:sym w:font="Symbol" w:char="F080"/>
            </w:r>
          </w:p>
        </w:tc>
      </w:tr>
      <w:tr w:rsidR="00BE4013" w:rsidRPr="002F736A" w:rsidTr="0064559C">
        <w:tc>
          <w:tcPr>
            <w:tcW w:w="0" w:type="auto"/>
          </w:tcPr>
          <w:p w:rsidR="00BE4013" w:rsidRPr="002F736A" w:rsidRDefault="00BE4013" w:rsidP="0064559C">
            <w:pPr>
              <w:rPr>
                <w:rFonts w:cs="Arial"/>
              </w:rPr>
            </w:pPr>
            <w:r w:rsidRPr="002F736A">
              <w:rPr>
                <w:rFonts w:cs="Arial"/>
              </w:rPr>
              <w:t>M2</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D9439D" w:rsidRDefault="00D9439D" w:rsidP="0064559C">
            <w:pPr>
              <w:jc w:val="center"/>
              <w:rPr>
                <w:rFonts w:cs="Arial"/>
                <w:color w:val="FF0000"/>
              </w:rPr>
            </w:pPr>
            <w:r w:rsidRPr="00D9439D">
              <w:rPr>
                <w:rFonts w:cs="Arial"/>
                <w:color w:val="FF0000"/>
              </w:rPr>
              <w:t>X</w:t>
            </w:r>
          </w:p>
        </w:tc>
        <w:tc>
          <w:tcPr>
            <w:tcW w:w="0" w:type="auto"/>
          </w:tcPr>
          <w:p w:rsidR="00BE4013" w:rsidRPr="002F736A" w:rsidRDefault="00BE4013" w:rsidP="0064559C">
            <w:pPr>
              <w:jc w:val="center"/>
              <w:rPr>
                <w:rFonts w:cs="Arial"/>
              </w:rPr>
            </w:pPr>
            <w:r w:rsidRPr="002F736A">
              <w:rPr>
                <w:rFonts w:cs="Arial"/>
              </w:rPr>
              <w:sym w:font="Symbol" w:char="F080"/>
            </w:r>
          </w:p>
        </w:tc>
      </w:tr>
      <w:tr w:rsidR="00BE4013" w:rsidRPr="002F736A" w:rsidTr="0064559C">
        <w:tc>
          <w:tcPr>
            <w:tcW w:w="0" w:type="auto"/>
          </w:tcPr>
          <w:p w:rsidR="00BE4013" w:rsidRPr="002F736A" w:rsidRDefault="00BE4013" w:rsidP="0064559C">
            <w:pPr>
              <w:rPr>
                <w:rFonts w:cs="Arial"/>
              </w:rPr>
            </w:pPr>
            <w:r w:rsidRPr="002F736A">
              <w:rPr>
                <w:rFonts w:cs="Arial"/>
              </w:rPr>
              <w:t>M3</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D9439D" w:rsidRDefault="00D9439D" w:rsidP="0064559C">
            <w:pPr>
              <w:jc w:val="center"/>
              <w:rPr>
                <w:rFonts w:cs="Arial"/>
                <w:color w:val="FF0000"/>
              </w:rPr>
            </w:pPr>
            <w:r w:rsidRPr="00D9439D">
              <w:rPr>
                <w:rFonts w:cs="Arial"/>
                <w:color w:val="FF0000"/>
              </w:rPr>
              <w:t>X</w:t>
            </w:r>
          </w:p>
        </w:tc>
        <w:tc>
          <w:tcPr>
            <w:tcW w:w="0" w:type="auto"/>
          </w:tcPr>
          <w:p w:rsidR="00BE4013" w:rsidRPr="002F736A" w:rsidRDefault="00BE4013" w:rsidP="0064559C">
            <w:pPr>
              <w:jc w:val="center"/>
              <w:rPr>
                <w:rFonts w:cs="Arial"/>
              </w:rPr>
            </w:pPr>
            <w:r w:rsidRPr="002F736A">
              <w:rPr>
                <w:rFonts w:cs="Arial"/>
              </w:rPr>
              <w:sym w:font="Symbol" w:char="F080"/>
            </w:r>
          </w:p>
        </w:tc>
      </w:tr>
    </w:tbl>
    <w:p w:rsidR="00BE4013" w:rsidRDefault="00BE4013" w:rsidP="00BE4013"/>
    <w:p w:rsidR="00BE4013" w:rsidRDefault="00BE4013" w:rsidP="00BE4013"/>
    <w:p w:rsidR="00BE4013" w:rsidRDefault="00BE4013" w:rsidP="00BE4013"/>
    <w:p w:rsidR="00BE4013" w:rsidRDefault="00BE4013" w:rsidP="00BE4013"/>
    <w:p w:rsidR="00BE4013" w:rsidRDefault="00BE4013" w:rsidP="00BE4013"/>
    <w:p w:rsidR="00BE4013" w:rsidRDefault="00BE4013" w:rsidP="00BE4013"/>
    <w:p w:rsidR="0090237C" w:rsidRPr="00D9439D" w:rsidRDefault="0090237C" w:rsidP="00BE4013">
      <w:pPr>
        <w:rPr>
          <w:color w:val="0070C0"/>
          <w:sz w:val="18"/>
        </w:rPr>
      </w:pPr>
      <w:r w:rsidRPr="00D9439D">
        <w:rPr>
          <w:color w:val="0070C0"/>
          <w:sz w:val="18"/>
        </w:rPr>
        <w:t>Die Schuldverschreibungen laufen zu lange um zu M3 zu gehören, aber für den Erwerb brauchen die Bürger der Eurozone Zahlungsmittel</w:t>
      </w:r>
      <w:r w:rsidR="00D9439D" w:rsidRPr="00D9439D">
        <w:rPr>
          <w:color w:val="0070C0"/>
          <w:sz w:val="18"/>
        </w:rPr>
        <w:t>, die damit an Banken abfließen und aus M1 bis M3 rausgehen.</w:t>
      </w:r>
    </w:p>
    <w:p w:rsidR="0090237C" w:rsidRPr="00E46F9B" w:rsidRDefault="0090237C" w:rsidP="00BE4013"/>
    <w:p w:rsidR="00BE4013" w:rsidRPr="00134EFA" w:rsidRDefault="00BE4013" w:rsidP="00BE4013">
      <w:pPr>
        <w:tabs>
          <w:tab w:val="left" w:pos="426"/>
        </w:tabs>
        <w:ind w:left="426" w:hanging="426"/>
      </w:pPr>
      <w:r w:rsidRPr="00134EFA">
        <w:t xml:space="preserve">c) </w:t>
      </w:r>
      <w:r w:rsidRPr="00134EFA">
        <w:tab/>
        <w:t xml:space="preserve">ein Bürger der Eurozone den Kredit auf seinem Girokonto erhöht indem er Euros am Automaten einer Sparkasse in Deutschland abhebt: </w:t>
      </w:r>
    </w:p>
    <w:p w:rsidR="00BE4013" w:rsidRPr="00134EFA" w:rsidRDefault="00BE4013" w:rsidP="00BE4013"/>
    <w:tbl>
      <w:tblPr>
        <w:tblStyle w:val="Tabellenraster"/>
        <w:tblpPr w:leftFromText="141" w:rightFromText="141" w:vertAnchor="text" w:horzAnchor="page" w:tblpX="6691" w:tblpYSpec="outside"/>
        <w:tblW w:w="0" w:type="auto"/>
        <w:tblLook w:val="04A0" w:firstRow="1" w:lastRow="0" w:firstColumn="1" w:lastColumn="0" w:noHBand="0" w:noVBand="1"/>
      </w:tblPr>
      <w:tblGrid>
        <w:gridCol w:w="516"/>
        <w:gridCol w:w="728"/>
        <w:gridCol w:w="564"/>
        <w:gridCol w:w="1330"/>
      </w:tblGrid>
      <w:tr w:rsidR="00BE4013" w:rsidRPr="002F736A" w:rsidTr="0064559C">
        <w:tc>
          <w:tcPr>
            <w:tcW w:w="0" w:type="auto"/>
          </w:tcPr>
          <w:p w:rsidR="00BE4013" w:rsidRPr="0070031D" w:rsidRDefault="00BE4013" w:rsidP="0064559C">
            <w:pPr>
              <w:rPr>
                <w:rFonts w:cs="Arial"/>
              </w:rPr>
            </w:pPr>
          </w:p>
        </w:tc>
        <w:tc>
          <w:tcPr>
            <w:tcW w:w="0" w:type="auto"/>
          </w:tcPr>
          <w:p w:rsidR="00BE4013" w:rsidRPr="002F736A" w:rsidRDefault="00BE4013" w:rsidP="0064559C">
            <w:pPr>
              <w:rPr>
                <w:rFonts w:cs="Arial"/>
              </w:rPr>
            </w:pPr>
            <w:r w:rsidRPr="002F736A">
              <w:rPr>
                <w:rFonts w:cs="Arial"/>
              </w:rPr>
              <w:t>Steigt</w:t>
            </w:r>
          </w:p>
        </w:tc>
        <w:tc>
          <w:tcPr>
            <w:tcW w:w="0" w:type="auto"/>
          </w:tcPr>
          <w:p w:rsidR="00BE4013" w:rsidRPr="002F736A" w:rsidRDefault="00BE4013" w:rsidP="0064559C">
            <w:pPr>
              <w:rPr>
                <w:rFonts w:cs="Arial"/>
              </w:rPr>
            </w:pPr>
            <w:r w:rsidRPr="002F736A">
              <w:rPr>
                <w:rFonts w:cs="Arial"/>
              </w:rPr>
              <w:t>fällt</w:t>
            </w:r>
          </w:p>
        </w:tc>
        <w:tc>
          <w:tcPr>
            <w:tcW w:w="0" w:type="auto"/>
          </w:tcPr>
          <w:p w:rsidR="00BE4013" w:rsidRPr="002F736A" w:rsidRDefault="00BE4013" w:rsidP="0064559C">
            <w:pPr>
              <w:rPr>
                <w:rFonts w:cs="Arial"/>
              </w:rPr>
            </w:pPr>
            <w:r w:rsidRPr="002F736A">
              <w:rPr>
                <w:rFonts w:cs="Arial"/>
              </w:rPr>
              <w:t xml:space="preserve">bleibt </w:t>
            </w:r>
            <w:r w:rsidRPr="002F736A">
              <w:rPr>
                <w:rFonts w:cs="Arial"/>
              </w:rPr>
              <w:br/>
              <w:t>unverändert</w:t>
            </w:r>
          </w:p>
        </w:tc>
      </w:tr>
      <w:tr w:rsidR="00BE4013" w:rsidRPr="002F736A" w:rsidTr="0064559C">
        <w:tc>
          <w:tcPr>
            <w:tcW w:w="0" w:type="auto"/>
          </w:tcPr>
          <w:p w:rsidR="00BE4013" w:rsidRPr="002F736A" w:rsidRDefault="00BE4013" w:rsidP="0064559C">
            <w:pPr>
              <w:rPr>
                <w:rFonts w:cs="Arial"/>
              </w:rPr>
            </w:pPr>
            <w:r w:rsidRPr="002F736A">
              <w:rPr>
                <w:rFonts w:cs="Arial"/>
              </w:rPr>
              <w:t>M1</w:t>
            </w:r>
          </w:p>
        </w:tc>
        <w:tc>
          <w:tcPr>
            <w:tcW w:w="0" w:type="auto"/>
          </w:tcPr>
          <w:p w:rsidR="00BE4013" w:rsidRPr="00D9439D" w:rsidRDefault="00D9439D" w:rsidP="0064559C">
            <w:pPr>
              <w:jc w:val="center"/>
              <w:rPr>
                <w:rFonts w:cs="Arial"/>
                <w:color w:val="FF0000"/>
              </w:rPr>
            </w:pPr>
            <w:r w:rsidRPr="00D9439D">
              <w:rPr>
                <w:rFonts w:cs="Arial"/>
                <w:color w:val="FF0000"/>
              </w:rPr>
              <w:t>X</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2F736A" w:rsidRDefault="00BE4013" w:rsidP="0064559C">
            <w:pPr>
              <w:jc w:val="center"/>
              <w:rPr>
                <w:rFonts w:cs="Arial"/>
              </w:rPr>
            </w:pPr>
            <w:r w:rsidRPr="002F736A">
              <w:rPr>
                <w:rFonts w:cs="Arial"/>
              </w:rPr>
              <w:sym w:font="Symbol" w:char="F080"/>
            </w:r>
          </w:p>
        </w:tc>
      </w:tr>
      <w:tr w:rsidR="00BE4013" w:rsidRPr="002F736A" w:rsidTr="0064559C">
        <w:tc>
          <w:tcPr>
            <w:tcW w:w="0" w:type="auto"/>
          </w:tcPr>
          <w:p w:rsidR="00BE4013" w:rsidRPr="002F736A" w:rsidRDefault="00BE4013" w:rsidP="0064559C">
            <w:pPr>
              <w:rPr>
                <w:rFonts w:cs="Arial"/>
              </w:rPr>
            </w:pPr>
            <w:r w:rsidRPr="002F736A">
              <w:rPr>
                <w:rFonts w:cs="Arial"/>
              </w:rPr>
              <w:t>M2</w:t>
            </w:r>
          </w:p>
        </w:tc>
        <w:tc>
          <w:tcPr>
            <w:tcW w:w="0" w:type="auto"/>
          </w:tcPr>
          <w:p w:rsidR="00BE4013" w:rsidRPr="00D9439D" w:rsidRDefault="00D9439D" w:rsidP="0064559C">
            <w:pPr>
              <w:jc w:val="center"/>
              <w:rPr>
                <w:rFonts w:cs="Arial"/>
                <w:color w:val="FF0000"/>
              </w:rPr>
            </w:pPr>
            <w:r w:rsidRPr="00D9439D">
              <w:rPr>
                <w:rFonts w:cs="Arial"/>
                <w:color w:val="FF0000"/>
              </w:rPr>
              <w:t>X</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2F736A" w:rsidRDefault="00BE4013" w:rsidP="0064559C">
            <w:pPr>
              <w:jc w:val="center"/>
              <w:rPr>
                <w:rFonts w:cs="Arial"/>
              </w:rPr>
            </w:pPr>
            <w:r w:rsidRPr="002F736A">
              <w:rPr>
                <w:rFonts w:cs="Arial"/>
              </w:rPr>
              <w:sym w:font="Symbol" w:char="F080"/>
            </w:r>
          </w:p>
        </w:tc>
      </w:tr>
      <w:tr w:rsidR="00BE4013" w:rsidRPr="002F736A" w:rsidTr="0064559C">
        <w:tc>
          <w:tcPr>
            <w:tcW w:w="0" w:type="auto"/>
          </w:tcPr>
          <w:p w:rsidR="00BE4013" w:rsidRPr="002F736A" w:rsidRDefault="00BE4013" w:rsidP="0064559C">
            <w:pPr>
              <w:rPr>
                <w:rFonts w:cs="Arial"/>
              </w:rPr>
            </w:pPr>
            <w:r w:rsidRPr="002F736A">
              <w:rPr>
                <w:rFonts w:cs="Arial"/>
              </w:rPr>
              <w:t>M3</w:t>
            </w:r>
          </w:p>
        </w:tc>
        <w:tc>
          <w:tcPr>
            <w:tcW w:w="0" w:type="auto"/>
          </w:tcPr>
          <w:p w:rsidR="00BE4013" w:rsidRPr="00D9439D" w:rsidRDefault="00D9439D" w:rsidP="0064559C">
            <w:pPr>
              <w:jc w:val="center"/>
              <w:rPr>
                <w:rFonts w:cs="Arial"/>
                <w:color w:val="FF0000"/>
              </w:rPr>
            </w:pPr>
            <w:r w:rsidRPr="00D9439D">
              <w:rPr>
                <w:rFonts w:cs="Arial"/>
                <w:color w:val="FF0000"/>
              </w:rPr>
              <w:t>X</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2F736A" w:rsidRDefault="00BE4013" w:rsidP="0064559C">
            <w:pPr>
              <w:jc w:val="center"/>
              <w:rPr>
                <w:rFonts w:cs="Arial"/>
              </w:rPr>
            </w:pPr>
            <w:r w:rsidRPr="002F736A">
              <w:rPr>
                <w:rFonts w:cs="Arial"/>
              </w:rPr>
              <w:sym w:font="Symbol" w:char="F080"/>
            </w:r>
          </w:p>
        </w:tc>
      </w:tr>
    </w:tbl>
    <w:p w:rsidR="00BE4013" w:rsidRDefault="00BE4013" w:rsidP="00BE4013"/>
    <w:p w:rsidR="00BE4013" w:rsidRDefault="00BE4013" w:rsidP="00BE4013"/>
    <w:p w:rsidR="00BE4013" w:rsidRDefault="00BE4013" w:rsidP="00BE4013"/>
    <w:p w:rsidR="00BE4013" w:rsidRDefault="00BE4013" w:rsidP="00BE4013"/>
    <w:p w:rsidR="00BE4013" w:rsidRDefault="00BE4013" w:rsidP="00BE4013"/>
    <w:p w:rsidR="00BE4013" w:rsidRDefault="00BE4013" w:rsidP="00BE4013"/>
    <w:p w:rsidR="00D9439D" w:rsidRPr="00D9439D" w:rsidRDefault="00D9439D" w:rsidP="00BE4013">
      <w:pPr>
        <w:rPr>
          <w:color w:val="0070C0"/>
          <w:sz w:val="18"/>
        </w:rPr>
      </w:pPr>
      <w:r w:rsidRPr="00D9439D">
        <w:rPr>
          <w:color w:val="0070C0"/>
          <w:sz w:val="18"/>
        </w:rPr>
        <w:t>Würde er aus Guthaben abheben, so bliebe alles unverändert</w:t>
      </w:r>
    </w:p>
    <w:p w:rsidR="00D9439D" w:rsidRPr="00E46F9B" w:rsidRDefault="00D9439D" w:rsidP="00BE4013"/>
    <w:p w:rsidR="00BE4013" w:rsidRPr="00134EFA" w:rsidRDefault="00BE4013" w:rsidP="00BE4013">
      <w:pPr>
        <w:tabs>
          <w:tab w:val="left" w:pos="426"/>
        </w:tabs>
        <w:ind w:left="426" w:hanging="426"/>
      </w:pPr>
      <w:r w:rsidRPr="00134EFA">
        <w:t xml:space="preserve">d) </w:t>
      </w:r>
      <w:r w:rsidRPr="00134EFA">
        <w:tab/>
        <w:t xml:space="preserve">ein deutscher Bürger auf Kurzbesuch in den USA am Geldautomaten einer US-Bank Dollar abhebt und damit das Guthaben auf seinem Sparkassen-Girokonto verringert: </w:t>
      </w:r>
    </w:p>
    <w:p w:rsidR="00BE4013" w:rsidRPr="00134EFA" w:rsidRDefault="00BE4013" w:rsidP="00BE4013"/>
    <w:tbl>
      <w:tblPr>
        <w:tblStyle w:val="Tabellenraster"/>
        <w:tblpPr w:leftFromText="141" w:rightFromText="141" w:vertAnchor="text" w:horzAnchor="page" w:tblpX="6691" w:tblpYSpec="outside"/>
        <w:tblW w:w="0" w:type="auto"/>
        <w:tblLook w:val="04A0" w:firstRow="1" w:lastRow="0" w:firstColumn="1" w:lastColumn="0" w:noHBand="0" w:noVBand="1"/>
      </w:tblPr>
      <w:tblGrid>
        <w:gridCol w:w="516"/>
        <w:gridCol w:w="728"/>
        <w:gridCol w:w="564"/>
        <w:gridCol w:w="1330"/>
      </w:tblGrid>
      <w:tr w:rsidR="00BE4013" w:rsidRPr="002F736A" w:rsidTr="0064559C">
        <w:tc>
          <w:tcPr>
            <w:tcW w:w="0" w:type="auto"/>
          </w:tcPr>
          <w:p w:rsidR="00BE4013" w:rsidRPr="0070031D" w:rsidRDefault="00BE4013" w:rsidP="0064559C">
            <w:pPr>
              <w:rPr>
                <w:rFonts w:cs="Arial"/>
              </w:rPr>
            </w:pPr>
          </w:p>
        </w:tc>
        <w:tc>
          <w:tcPr>
            <w:tcW w:w="0" w:type="auto"/>
          </w:tcPr>
          <w:p w:rsidR="00BE4013" w:rsidRPr="002F736A" w:rsidRDefault="00BE4013" w:rsidP="0064559C">
            <w:pPr>
              <w:rPr>
                <w:rFonts w:cs="Arial"/>
              </w:rPr>
            </w:pPr>
            <w:r w:rsidRPr="002F736A">
              <w:rPr>
                <w:rFonts w:cs="Arial"/>
              </w:rPr>
              <w:t>Steigt</w:t>
            </w:r>
          </w:p>
        </w:tc>
        <w:tc>
          <w:tcPr>
            <w:tcW w:w="0" w:type="auto"/>
          </w:tcPr>
          <w:p w:rsidR="00BE4013" w:rsidRPr="002F736A" w:rsidRDefault="00BE4013" w:rsidP="0064559C">
            <w:pPr>
              <w:rPr>
                <w:rFonts w:cs="Arial"/>
              </w:rPr>
            </w:pPr>
            <w:r w:rsidRPr="002F736A">
              <w:rPr>
                <w:rFonts w:cs="Arial"/>
              </w:rPr>
              <w:t>fällt</w:t>
            </w:r>
          </w:p>
        </w:tc>
        <w:tc>
          <w:tcPr>
            <w:tcW w:w="0" w:type="auto"/>
          </w:tcPr>
          <w:p w:rsidR="00BE4013" w:rsidRPr="002F736A" w:rsidRDefault="00BE4013" w:rsidP="0064559C">
            <w:pPr>
              <w:rPr>
                <w:rFonts w:cs="Arial"/>
              </w:rPr>
            </w:pPr>
            <w:r w:rsidRPr="002F736A">
              <w:rPr>
                <w:rFonts w:cs="Arial"/>
              </w:rPr>
              <w:t xml:space="preserve">bleibt </w:t>
            </w:r>
            <w:r w:rsidRPr="002F736A">
              <w:rPr>
                <w:rFonts w:cs="Arial"/>
              </w:rPr>
              <w:br/>
              <w:t>unverändert</w:t>
            </w:r>
          </w:p>
        </w:tc>
      </w:tr>
      <w:tr w:rsidR="00BE4013" w:rsidRPr="002F736A" w:rsidTr="0064559C">
        <w:tc>
          <w:tcPr>
            <w:tcW w:w="0" w:type="auto"/>
          </w:tcPr>
          <w:p w:rsidR="00BE4013" w:rsidRPr="002F736A" w:rsidRDefault="00BE4013" w:rsidP="0064559C">
            <w:pPr>
              <w:rPr>
                <w:rFonts w:cs="Arial"/>
              </w:rPr>
            </w:pPr>
            <w:r w:rsidRPr="002F736A">
              <w:rPr>
                <w:rFonts w:cs="Arial"/>
              </w:rPr>
              <w:t>M1</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D9439D" w:rsidRDefault="00D9439D" w:rsidP="0064559C">
            <w:pPr>
              <w:jc w:val="center"/>
              <w:rPr>
                <w:rFonts w:cs="Arial"/>
                <w:color w:val="FF0000"/>
              </w:rPr>
            </w:pPr>
            <w:r w:rsidRPr="00D9439D">
              <w:rPr>
                <w:rFonts w:cs="Arial"/>
                <w:color w:val="FF0000"/>
              </w:rPr>
              <w:t>X</w:t>
            </w:r>
          </w:p>
        </w:tc>
      </w:tr>
      <w:tr w:rsidR="00BE4013" w:rsidRPr="002F736A" w:rsidTr="0064559C">
        <w:tc>
          <w:tcPr>
            <w:tcW w:w="0" w:type="auto"/>
          </w:tcPr>
          <w:p w:rsidR="00BE4013" w:rsidRPr="002F736A" w:rsidRDefault="00BE4013" w:rsidP="0064559C">
            <w:pPr>
              <w:rPr>
                <w:rFonts w:cs="Arial"/>
              </w:rPr>
            </w:pPr>
            <w:r w:rsidRPr="002F736A">
              <w:rPr>
                <w:rFonts w:cs="Arial"/>
              </w:rPr>
              <w:t>M2</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D9439D" w:rsidRDefault="00D9439D" w:rsidP="0064559C">
            <w:pPr>
              <w:jc w:val="center"/>
              <w:rPr>
                <w:rFonts w:cs="Arial"/>
                <w:color w:val="FF0000"/>
              </w:rPr>
            </w:pPr>
            <w:r w:rsidRPr="00D9439D">
              <w:rPr>
                <w:rFonts w:cs="Arial"/>
                <w:color w:val="FF0000"/>
              </w:rPr>
              <w:t>X</w:t>
            </w:r>
          </w:p>
        </w:tc>
      </w:tr>
      <w:tr w:rsidR="00BE4013" w:rsidRPr="002F736A" w:rsidTr="0064559C">
        <w:tc>
          <w:tcPr>
            <w:tcW w:w="0" w:type="auto"/>
          </w:tcPr>
          <w:p w:rsidR="00BE4013" w:rsidRPr="002F736A" w:rsidRDefault="00BE4013" w:rsidP="0064559C">
            <w:pPr>
              <w:rPr>
                <w:rFonts w:cs="Arial"/>
              </w:rPr>
            </w:pPr>
            <w:r w:rsidRPr="002F736A">
              <w:rPr>
                <w:rFonts w:cs="Arial"/>
              </w:rPr>
              <w:t>M3</w:t>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2F736A" w:rsidRDefault="00BE4013" w:rsidP="0064559C">
            <w:pPr>
              <w:jc w:val="center"/>
              <w:rPr>
                <w:rFonts w:cs="Arial"/>
              </w:rPr>
            </w:pPr>
            <w:r w:rsidRPr="002F736A">
              <w:rPr>
                <w:rFonts w:cs="Arial"/>
              </w:rPr>
              <w:sym w:font="Symbol" w:char="F080"/>
            </w:r>
          </w:p>
        </w:tc>
        <w:tc>
          <w:tcPr>
            <w:tcW w:w="0" w:type="auto"/>
          </w:tcPr>
          <w:p w:rsidR="00BE4013" w:rsidRPr="00D9439D" w:rsidRDefault="00D9439D" w:rsidP="0064559C">
            <w:pPr>
              <w:jc w:val="center"/>
              <w:rPr>
                <w:rFonts w:cs="Arial"/>
                <w:color w:val="FF0000"/>
              </w:rPr>
            </w:pPr>
            <w:r w:rsidRPr="00D9439D">
              <w:rPr>
                <w:rFonts w:cs="Arial"/>
                <w:color w:val="FF0000"/>
              </w:rPr>
              <w:t>X</w:t>
            </w:r>
          </w:p>
        </w:tc>
      </w:tr>
    </w:tbl>
    <w:p w:rsidR="00BE4013" w:rsidRDefault="00BE4013" w:rsidP="00BE4013"/>
    <w:p w:rsidR="00BE4013" w:rsidRDefault="00BE4013" w:rsidP="00BE4013"/>
    <w:p w:rsidR="00BE4013" w:rsidRDefault="00BE4013" w:rsidP="00BE4013"/>
    <w:p w:rsidR="00BE4013" w:rsidRPr="004E22C7" w:rsidRDefault="00BE4013" w:rsidP="00BE4013"/>
    <w:p w:rsidR="00BE4013" w:rsidRDefault="00BE4013" w:rsidP="00BE4013"/>
    <w:p w:rsidR="00D9439D" w:rsidRDefault="00D9439D" w:rsidP="00BE4013"/>
    <w:p w:rsidR="00D9439D" w:rsidRPr="00D9439D" w:rsidRDefault="00D9439D" w:rsidP="00BE4013">
      <w:pPr>
        <w:rPr>
          <w:color w:val="0070C0"/>
          <w:sz w:val="18"/>
        </w:rPr>
      </w:pPr>
      <w:r w:rsidRPr="00D9439D">
        <w:rPr>
          <w:color w:val="0070C0"/>
          <w:sz w:val="18"/>
        </w:rPr>
        <w:t>Es zählt nach wie vor zur Geldmenge bis er es ausgibt, da nicht die Währung, der kurzzeitige aktuelle Aufenthalt oder die Nationalität der Bank entscheiden, sondern der dauerhafte Wohnsitz des Forderungsinhabers.</w:t>
      </w:r>
    </w:p>
    <w:p w:rsidR="00BE4013" w:rsidRDefault="00BE4013" w:rsidP="00BE4013"/>
    <w:p w:rsidR="00D9439D" w:rsidRDefault="00D9439D" w:rsidP="00BE4013">
      <w:bookmarkStart w:id="0" w:name="_GoBack"/>
      <w:r>
        <w:t>Weitere Variationen:</w:t>
      </w:r>
    </w:p>
    <w:p w:rsidR="00D9439D" w:rsidRDefault="00D9439D" w:rsidP="00BE4013"/>
    <w:p w:rsidR="00D9439D" w:rsidRPr="00134EFA" w:rsidRDefault="00D9439D" w:rsidP="00D9439D">
      <w:pPr>
        <w:tabs>
          <w:tab w:val="left" w:pos="426"/>
        </w:tabs>
        <w:ind w:left="426" w:hanging="426"/>
      </w:pPr>
      <w:r>
        <w:t>e</w:t>
      </w:r>
      <w:r w:rsidRPr="00134EFA">
        <w:t xml:space="preserve">) </w:t>
      </w:r>
      <w:r w:rsidRPr="00134EFA">
        <w:tab/>
        <w:t xml:space="preserve">ein </w:t>
      </w:r>
      <w:r>
        <w:t>französischer</w:t>
      </w:r>
      <w:r w:rsidRPr="00134EFA">
        <w:t xml:space="preserve"> Bürger auf </w:t>
      </w:r>
      <w:r>
        <w:t>Guthaben bei der Deutschen Bank in Frankfurt verwendet um Geldmarktfondsanteile zu erwerben</w:t>
      </w:r>
      <w:r w:rsidRPr="00134EFA">
        <w:t xml:space="preserve">: </w:t>
      </w:r>
    </w:p>
    <w:p w:rsidR="00D9439D" w:rsidRPr="00134EFA" w:rsidRDefault="00D9439D" w:rsidP="00D9439D"/>
    <w:tbl>
      <w:tblPr>
        <w:tblStyle w:val="Tabellenraster"/>
        <w:tblpPr w:leftFromText="141" w:rightFromText="141" w:vertAnchor="text" w:horzAnchor="page" w:tblpX="6691" w:tblpYSpec="outside"/>
        <w:tblW w:w="0" w:type="auto"/>
        <w:tblLook w:val="04A0" w:firstRow="1" w:lastRow="0" w:firstColumn="1" w:lastColumn="0" w:noHBand="0" w:noVBand="1"/>
      </w:tblPr>
      <w:tblGrid>
        <w:gridCol w:w="516"/>
        <w:gridCol w:w="728"/>
        <w:gridCol w:w="564"/>
        <w:gridCol w:w="1330"/>
      </w:tblGrid>
      <w:tr w:rsidR="00D9439D" w:rsidRPr="002F736A" w:rsidTr="002516C5">
        <w:tc>
          <w:tcPr>
            <w:tcW w:w="0" w:type="auto"/>
          </w:tcPr>
          <w:p w:rsidR="00D9439D" w:rsidRPr="0070031D" w:rsidRDefault="00D9439D" w:rsidP="002516C5">
            <w:pPr>
              <w:rPr>
                <w:rFonts w:cs="Arial"/>
              </w:rPr>
            </w:pPr>
          </w:p>
        </w:tc>
        <w:tc>
          <w:tcPr>
            <w:tcW w:w="0" w:type="auto"/>
          </w:tcPr>
          <w:p w:rsidR="00D9439D" w:rsidRPr="002F736A" w:rsidRDefault="00D9439D" w:rsidP="002516C5">
            <w:pPr>
              <w:rPr>
                <w:rFonts w:cs="Arial"/>
              </w:rPr>
            </w:pPr>
            <w:r w:rsidRPr="002F736A">
              <w:rPr>
                <w:rFonts w:cs="Arial"/>
              </w:rPr>
              <w:t>Steigt</w:t>
            </w:r>
          </w:p>
        </w:tc>
        <w:tc>
          <w:tcPr>
            <w:tcW w:w="0" w:type="auto"/>
          </w:tcPr>
          <w:p w:rsidR="00D9439D" w:rsidRPr="002F736A" w:rsidRDefault="00D9439D" w:rsidP="002516C5">
            <w:pPr>
              <w:rPr>
                <w:rFonts w:cs="Arial"/>
              </w:rPr>
            </w:pPr>
            <w:r w:rsidRPr="002F736A">
              <w:rPr>
                <w:rFonts w:cs="Arial"/>
              </w:rPr>
              <w:t>fällt</w:t>
            </w:r>
          </w:p>
        </w:tc>
        <w:tc>
          <w:tcPr>
            <w:tcW w:w="0" w:type="auto"/>
          </w:tcPr>
          <w:p w:rsidR="00D9439D" w:rsidRPr="002F736A" w:rsidRDefault="00D9439D" w:rsidP="002516C5">
            <w:pPr>
              <w:rPr>
                <w:rFonts w:cs="Arial"/>
              </w:rPr>
            </w:pPr>
            <w:r w:rsidRPr="002F736A">
              <w:rPr>
                <w:rFonts w:cs="Arial"/>
              </w:rPr>
              <w:t xml:space="preserve">bleibt </w:t>
            </w:r>
            <w:r w:rsidRPr="002F736A">
              <w:rPr>
                <w:rFonts w:cs="Arial"/>
              </w:rPr>
              <w:br/>
              <w:t>unverändert</w:t>
            </w:r>
          </w:p>
        </w:tc>
      </w:tr>
      <w:tr w:rsidR="00D9439D" w:rsidRPr="002F736A" w:rsidTr="002516C5">
        <w:tc>
          <w:tcPr>
            <w:tcW w:w="0" w:type="auto"/>
          </w:tcPr>
          <w:p w:rsidR="00D9439D" w:rsidRPr="002F736A" w:rsidRDefault="00D9439D" w:rsidP="002516C5">
            <w:pPr>
              <w:rPr>
                <w:rFonts w:cs="Arial"/>
              </w:rPr>
            </w:pPr>
            <w:r w:rsidRPr="002F736A">
              <w:rPr>
                <w:rFonts w:cs="Arial"/>
              </w:rPr>
              <w:t>M1</w:t>
            </w:r>
          </w:p>
        </w:tc>
        <w:tc>
          <w:tcPr>
            <w:tcW w:w="0" w:type="auto"/>
          </w:tcPr>
          <w:p w:rsidR="00D9439D" w:rsidRPr="002F736A" w:rsidRDefault="00D9439D" w:rsidP="002516C5">
            <w:pPr>
              <w:jc w:val="center"/>
              <w:rPr>
                <w:rFonts w:cs="Arial"/>
              </w:rPr>
            </w:pPr>
            <w:r w:rsidRPr="002F736A">
              <w:rPr>
                <w:rFonts w:cs="Arial"/>
              </w:rPr>
              <w:sym w:font="Symbol" w:char="F080"/>
            </w:r>
          </w:p>
        </w:tc>
        <w:tc>
          <w:tcPr>
            <w:tcW w:w="0" w:type="auto"/>
          </w:tcPr>
          <w:p w:rsidR="00D9439D" w:rsidRPr="00D9439D" w:rsidRDefault="00D9439D" w:rsidP="002516C5">
            <w:pPr>
              <w:jc w:val="center"/>
              <w:rPr>
                <w:rFonts w:cs="Arial"/>
                <w:color w:val="FF0000"/>
              </w:rPr>
            </w:pPr>
            <w:r w:rsidRPr="00D9439D">
              <w:rPr>
                <w:rFonts w:cs="Arial"/>
                <w:color w:val="FF0000"/>
              </w:rPr>
              <w:t>X</w:t>
            </w:r>
          </w:p>
        </w:tc>
        <w:tc>
          <w:tcPr>
            <w:tcW w:w="0" w:type="auto"/>
          </w:tcPr>
          <w:p w:rsidR="00D9439D" w:rsidRPr="002F736A" w:rsidRDefault="00D9439D" w:rsidP="002516C5">
            <w:pPr>
              <w:jc w:val="center"/>
              <w:rPr>
                <w:rFonts w:cs="Arial"/>
              </w:rPr>
            </w:pPr>
            <w:r w:rsidRPr="002F736A">
              <w:rPr>
                <w:rFonts w:cs="Arial"/>
              </w:rPr>
              <w:sym w:font="Symbol" w:char="F080"/>
            </w:r>
          </w:p>
        </w:tc>
      </w:tr>
      <w:tr w:rsidR="00D9439D" w:rsidRPr="002F736A" w:rsidTr="002516C5">
        <w:tc>
          <w:tcPr>
            <w:tcW w:w="0" w:type="auto"/>
          </w:tcPr>
          <w:p w:rsidR="00D9439D" w:rsidRPr="002F736A" w:rsidRDefault="00D9439D" w:rsidP="002516C5">
            <w:pPr>
              <w:rPr>
                <w:rFonts w:cs="Arial"/>
              </w:rPr>
            </w:pPr>
            <w:r w:rsidRPr="002F736A">
              <w:rPr>
                <w:rFonts w:cs="Arial"/>
              </w:rPr>
              <w:t>M2</w:t>
            </w:r>
          </w:p>
        </w:tc>
        <w:tc>
          <w:tcPr>
            <w:tcW w:w="0" w:type="auto"/>
          </w:tcPr>
          <w:p w:rsidR="00D9439D" w:rsidRPr="002F736A" w:rsidRDefault="00D9439D" w:rsidP="002516C5">
            <w:pPr>
              <w:jc w:val="center"/>
              <w:rPr>
                <w:rFonts w:cs="Arial"/>
              </w:rPr>
            </w:pPr>
            <w:r w:rsidRPr="002F736A">
              <w:rPr>
                <w:rFonts w:cs="Arial"/>
              </w:rPr>
              <w:sym w:font="Symbol" w:char="F080"/>
            </w:r>
          </w:p>
        </w:tc>
        <w:tc>
          <w:tcPr>
            <w:tcW w:w="0" w:type="auto"/>
          </w:tcPr>
          <w:p w:rsidR="00D9439D" w:rsidRPr="00D9439D" w:rsidRDefault="00D9439D" w:rsidP="002516C5">
            <w:pPr>
              <w:jc w:val="center"/>
              <w:rPr>
                <w:rFonts w:cs="Arial"/>
                <w:color w:val="FF0000"/>
              </w:rPr>
            </w:pPr>
            <w:r w:rsidRPr="00D9439D">
              <w:rPr>
                <w:rFonts w:cs="Arial"/>
                <w:color w:val="FF0000"/>
              </w:rPr>
              <w:t>X</w:t>
            </w:r>
          </w:p>
        </w:tc>
        <w:tc>
          <w:tcPr>
            <w:tcW w:w="0" w:type="auto"/>
          </w:tcPr>
          <w:p w:rsidR="00D9439D" w:rsidRPr="002F736A" w:rsidRDefault="00D9439D" w:rsidP="002516C5">
            <w:pPr>
              <w:jc w:val="center"/>
              <w:rPr>
                <w:rFonts w:cs="Arial"/>
              </w:rPr>
            </w:pPr>
            <w:r w:rsidRPr="002F736A">
              <w:rPr>
                <w:rFonts w:cs="Arial"/>
              </w:rPr>
              <w:sym w:font="Symbol" w:char="F080"/>
            </w:r>
          </w:p>
        </w:tc>
      </w:tr>
      <w:tr w:rsidR="00D9439D" w:rsidRPr="002F736A" w:rsidTr="002516C5">
        <w:tc>
          <w:tcPr>
            <w:tcW w:w="0" w:type="auto"/>
          </w:tcPr>
          <w:p w:rsidR="00D9439D" w:rsidRPr="002F736A" w:rsidRDefault="00D9439D" w:rsidP="002516C5">
            <w:pPr>
              <w:rPr>
                <w:rFonts w:cs="Arial"/>
              </w:rPr>
            </w:pPr>
            <w:r w:rsidRPr="002F736A">
              <w:rPr>
                <w:rFonts w:cs="Arial"/>
              </w:rPr>
              <w:t>M3</w:t>
            </w:r>
          </w:p>
        </w:tc>
        <w:tc>
          <w:tcPr>
            <w:tcW w:w="0" w:type="auto"/>
          </w:tcPr>
          <w:p w:rsidR="00D9439D" w:rsidRPr="002F736A" w:rsidRDefault="00D9439D" w:rsidP="002516C5">
            <w:pPr>
              <w:jc w:val="center"/>
              <w:rPr>
                <w:rFonts w:cs="Arial"/>
              </w:rPr>
            </w:pPr>
            <w:r w:rsidRPr="002F736A">
              <w:rPr>
                <w:rFonts w:cs="Arial"/>
              </w:rPr>
              <w:sym w:font="Symbol" w:char="F080"/>
            </w:r>
          </w:p>
        </w:tc>
        <w:tc>
          <w:tcPr>
            <w:tcW w:w="0" w:type="auto"/>
          </w:tcPr>
          <w:p w:rsidR="00D9439D" w:rsidRPr="002F736A" w:rsidRDefault="00D9439D" w:rsidP="002516C5">
            <w:pPr>
              <w:jc w:val="center"/>
              <w:rPr>
                <w:rFonts w:cs="Arial"/>
              </w:rPr>
            </w:pPr>
            <w:r w:rsidRPr="002F736A">
              <w:rPr>
                <w:rFonts w:cs="Arial"/>
              </w:rPr>
              <w:sym w:font="Symbol" w:char="F080"/>
            </w:r>
          </w:p>
        </w:tc>
        <w:tc>
          <w:tcPr>
            <w:tcW w:w="0" w:type="auto"/>
          </w:tcPr>
          <w:p w:rsidR="00D9439D" w:rsidRPr="002F736A" w:rsidRDefault="00D9439D" w:rsidP="002516C5">
            <w:pPr>
              <w:jc w:val="center"/>
              <w:rPr>
                <w:rFonts w:cs="Arial"/>
              </w:rPr>
            </w:pPr>
            <w:r w:rsidRPr="00D9439D">
              <w:rPr>
                <w:rFonts w:cs="Arial"/>
                <w:color w:val="FF0000"/>
              </w:rPr>
              <w:t>X</w:t>
            </w:r>
          </w:p>
        </w:tc>
      </w:tr>
    </w:tbl>
    <w:p w:rsidR="00D9439D" w:rsidRDefault="00D9439D" w:rsidP="00D9439D"/>
    <w:p w:rsidR="00D9439D" w:rsidRDefault="00D9439D" w:rsidP="00D9439D"/>
    <w:p w:rsidR="00D9439D" w:rsidRDefault="00D9439D" w:rsidP="00D9439D"/>
    <w:p w:rsidR="00D9439D" w:rsidRPr="004E22C7" w:rsidRDefault="00D9439D" w:rsidP="00D9439D"/>
    <w:p w:rsidR="00D9439D" w:rsidRDefault="00D9439D" w:rsidP="00D9439D"/>
    <w:p w:rsidR="00D9439D" w:rsidRDefault="00D9439D" w:rsidP="00D9439D"/>
    <w:p w:rsidR="00D9439D" w:rsidRPr="00D9439D" w:rsidRDefault="00D9439D" w:rsidP="00D9439D">
      <w:pPr>
        <w:jc w:val="both"/>
        <w:rPr>
          <w:color w:val="0070C0"/>
          <w:sz w:val="18"/>
        </w:rPr>
      </w:pPr>
      <w:r w:rsidRPr="00D9439D">
        <w:rPr>
          <w:color w:val="0070C0"/>
          <w:sz w:val="18"/>
        </w:rPr>
        <w:t>Die Gegenposition zu der Reduzierung der Zahlungsmittel ist erst in M3 enthalten. Somit nehmen die ersten beiden Geldmengen ab und die dritte bleibt unverändert.</w:t>
      </w:r>
    </w:p>
    <w:p w:rsidR="00D9439D" w:rsidRDefault="00D9439D" w:rsidP="00D9439D">
      <w:pPr>
        <w:jc w:val="both"/>
      </w:pPr>
    </w:p>
    <w:p w:rsidR="00D9439D" w:rsidRPr="00134EFA" w:rsidRDefault="00D9439D" w:rsidP="00D9439D">
      <w:pPr>
        <w:tabs>
          <w:tab w:val="left" w:pos="426"/>
        </w:tabs>
        <w:ind w:left="426" w:hanging="426"/>
      </w:pPr>
      <w:r w:rsidRPr="00134EFA">
        <w:t xml:space="preserve">d) </w:t>
      </w:r>
      <w:r w:rsidRPr="00134EFA">
        <w:tab/>
        <w:t xml:space="preserve">ein deutscher Bürger </w:t>
      </w:r>
      <w:r>
        <w:t>zu Lasten seiner Sparguthaben Schuldverschreibungen der Sparkasse Ravensburg kauft mit einer Restlaufzeit von 720 Tagen</w:t>
      </w:r>
      <w:r w:rsidRPr="00134EFA">
        <w:t xml:space="preserve">: </w:t>
      </w:r>
    </w:p>
    <w:p w:rsidR="00D9439D" w:rsidRPr="00134EFA" w:rsidRDefault="00D9439D" w:rsidP="00D9439D"/>
    <w:tbl>
      <w:tblPr>
        <w:tblStyle w:val="Tabellenraster"/>
        <w:tblpPr w:leftFromText="141" w:rightFromText="141" w:vertAnchor="text" w:horzAnchor="page" w:tblpX="6691" w:tblpYSpec="outside"/>
        <w:tblW w:w="0" w:type="auto"/>
        <w:tblLook w:val="04A0" w:firstRow="1" w:lastRow="0" w:firstColumn="1" w:lastColumn="0" w:noHBand="0" w:noVBand="1"/>
      </w:tblPr>
      <w:tblGrid>
        <w:gridCol w:w="516"/>
        <w:gridCol w:w="728"/>
        <w:gridCol w:w="564"/>
        <w:gridCol w:w="1330"/>
      </w:tblGrid>
      <w:tr w:rsidR="00D9439D" w:rsidRPr="002F736A" w:rsidTr="002516C5">
        <w:tc>
          <w:tcPr>
            <w:tcW w:w="0" w:type="auto"/>
          </w:tcPr>
          <w:p w:rsidR="00D9439D" w:rsidRPr="0070031D" w:rsidRDefault="00D9439D" w:rsidP="002516C5">
            <w:pPr>
              <w:rPr>
                <w:rFonts w:cs="Arial"/>
              </w:rPr>
            </w:pPr>
          </w:p>
        </w:tc>
        <w:tc>
          <w:tcPr>
            <w:tcW w:w="0" w:type="auto"/>
          </w:tcPr>
          <w:p w:rsidR="00D9439D" w:rsidRPr="002F736A" w:rsidRDefault="00D9439D" w:rsidP="002516C5">
            <w:pPr>
              <w:rPr>
                <w:rFonts w:cs="Arial"/>
              </w:rPr>
            </w:pPr>
            <w:r w:rsidRPr="002F736A">
              <w:rPr>
                <w:rFonts w:cs="Arial"/>
              </w:rPr>
              <w:t>Steigt</w:t>
            </w:r>
          </w:p>
        </w:tc>
        <w:tc>
          <w:tcPr>
            <w:tcW w:w="0" w:type="auto"/>
          </w:tcPr>
          <w:p w:rsidR="00D9439D" w:rsidRPr="002F736A" w:rsidRDefault="00D9439D" w:rsidP="002516C5">
            <w:pPr>
              <w:rPr>
                <w:rFonts w:cs="Arial"/>
              </w:rPr>
            </w:pPr>
            <w:r w:rsidRPr="002F736A">
              <w:rPr>
                <w:rFonts w:cs="Arial"/>
              </w:rPr>
              <w:t>fällt</w:t>
            </w:r>
          </w:p>
        </w:tc>
        <w:tc>
          <w:tcPr>
            <w:tcW w:w="0" w:type="auto"/>
          </w:tcPr>
          <w:p w:rsidR="00D9439D" w:rsidRPr="002F736A" w:rsidRDefault="00D9439D" w:rsidP="002516C5">
            <w:pPr>
              <w:rPr>
                <w:rFonts w:cs="Arial"/>
              </w:rPr>
            </w:pPr>
            <w:r w:rsidRPr="002F736A">
              <w:rPr>
                <w:rFonts w:cs="Arial"/>
              </w:rPr>
              <w:t xml:space="preserve">bleibt </w:t>
            </w:r>
            <w:r w:rsidRPr="002F736A">
              <w:rPr>
                <w:rFonts w:cs="Arial"/>
              </w:rPr>
              <w:br/>
              <w:t>unverändert</w:t>
            </w:r>
          </w:p>
        </w:tc>
      </w:tr>
      <w:tr w:rsidR="00D9439D" w:rsidRPr="002F736A" w:rsidTr="002516C5">
        <w:tc>
          <w:tcPr>
            <w:tcW w:w="0" w:type="auto"/>
          </w:tcPr>
          <w:p w:rsidR="00D9439D" w:rsidRPr="002F736A" w:rsidRDefault="00D9439D" w:rsidP="002516C5">
            <w:pPr>
              <w:rPr>
                <w:rFonts w:cs="Arial"/>
              </w:rPr>
            </w:pPr>
            <w:r w:rsidRPr="002F736A">
              <w:rPr>
                <w:rFonts w:cs="Arial"/>
              </w:rPr>
              <w:t>M1</w:t>
            </w:r>
          </w:p>
        </w:tc>
        <w:tc>
          <w:tcPr>
            <w:tcW w:w="0" w:type="auto"/>
          </w:tcPr>
          <w:p w:rsidR="00D9439D" w:rsidRPr="002F736A" w:rsidRDefault="00D9439D" w:rsidP="002516C5">
            <w:pPr>
              <w:jc w:val="center"/>
              <w:rPr>
                <w:rFonts w:cs="Arial"/>
              </w:rPr>
            </w:pPr>
            <w:r w:rsidRPr="002F736A">
              <w:rPr>
                <w:rFonts w:cs="Arial"/>
              </w:rPr>
              <w:sym w:font="Symbol" w:char="F080"/>
            </w:r>
          </w:p>
        </w:tc>
        <w:tc>
          <w:tcPr>
            <w:tcW w:w="0" w:type="auto"/>
          </w:tcPr>
          <w:p w:rsidR="00D9439D" w:rsidRPr="002F736A" w:rsidRDefault="00D9439D" w:rsidP="002516C5">
            <w:pPr>
              <w:jc w:val="center"/>
              <w:rPr>
                <w:rFonts w:cs="Arial"/>
              </w:rPr>
            </w:pPr>
            <w:r w:rsidRPr="002F736A">
              <w:rPr>
                <w:rFonts w:cs="Arial"/>
              </w:rPr>
              <w:sym w:font="Symbol" w:char="F080"/>
            </w:r>
          </w:p>
        </w:tc>
        <w:tc>
          <w:tcPr>
            <w:tcW w:w="0" w:type="auto"/>
          </w:tcPr>
          <w:p w:rsidR="00D9439D" w:rsidRPr="002F736A" w:rsidRDefault="00E90F5C" w:rsidP="002516C5">
            <w:pPr>
              <w:jc w:val="center"/>
              <w:rPr>
                <w:rFonts w:cs="Arial"/>
              </w:rPr>
            </w:pPr>
            <w:r w:rsidRPr="00E90F5C">
              <w:rPr>
                <w:rFonts w:cs="Arial"/>
                <w:color w:val="FF0000"/>
              </w:rPr>
              <w:t>X</w:t>
            </w:r>
          </w:p>
        </w:tc>
      </w:tr>
      <w:tr w:rsidR="00D9439D" w:rsidRPr="002F736A" w:rsidTr="002516C5">
        <w:tc>
          <w:tcPr>
            <w:tcW w:w="0" w:type="auto"/>
          </w:tcPr>
          <w:p w:rsidR="00D9439D" w:rsidRPr="002F736A" w:rsidRDefault="00D9439D" w:rsidP="002516C5">
            <w:pPr>
              <w:rPr>
                <w:rFonts w:cs="Arial"/>
              </w:rPr>
            </w:pPr>
            <w:r w:rsidRPr="002F736A">
              <w:rPr>
                <w:rFonts w:cs="Arial"/>
              </w:rPr>
              <w:t>M2</w:t>
            </w:r>
          </w:p>
        </w:tc>
        <w:tc>
          <w:tcPr>
            <w:tcW w:w="0" w:type="auto"/>
          </w:tcPr>
          <w:p w:rsidR="00D9439D" w:rsidRPr="002F736A" w:rsidRDefault="00D9439D" w:rsidP="002516C5">
            <w:pPr>
              <w:jc w:val="center"/>
              <w:rPr>
                <w:rFonts w:cs="Arial"/>
              </w:rPr>
            </w:pPr>
            <w:r w:rsidRPr="002F736A">
              <w:rPr>
                <w:rFonts w:cs="Arial"/>
              </w:rPr>
              <w:sym w:font="Symbol" w:char="F080"/>
            </w:r>
          </w:p>
        </w:tc>
        <w:tc>
          <w:tcPr>
            <w:tcW w:w="0" w:type="auto"/>
          </w:tcPr>
          <w:p w:rsidR="00D9439D" w:rsidRPr="002F736A" w:rsidRDefault="00E90F5C" w:rsidP="002516C5">
            <w:pPr>
              <w:jc w:val="center"/>
              <w:rPr>
                <w:rFonts w:cs="Arial"/>
              </w:rPr>
            </w:pPr>
            <w:r w:rsidRPr="00E90F5C">
              <w:rPr>
                <w:rFonts w:cs="Arial"/>
                <w:color w:val="FF0000"/>
              </w:rPr>
              <w:t>X</w:t>
            </w:r>
          </w:p>
        </w:tc>
        <w:tc>
          <w:tcPr>
            <w:tcW w:w="0" w:type="auto"/>
          </w:tcPr>
          <w:p w:rsidR="00D9439D" w:rsidRPr="002F736A" w:rsidRDefault="00D9439D" w:rsidP="002516C5">
            <w:pPr>
              <w:jc w:val="center"/>
              <w:rPr>
                <w:rFonts w:cs="Arial"/>
              </w:rPr>
            </w:pPr>
            <w:r w:rsidRPr="002F736A">
              <w:rPr>
                <w:rFonts w:cs="Arial"/>
              </w:rPr>
              <w:sym w:font="Symbol" w:char="F080"/>
            </w:r>
          </w:p>
        </w:tc>
      </w:tr>
      <w:tr w:rsidR="00D9439D" w:rsidRPr="002F736A" w:rsidTr="002516C5">
        <w:tc>
          <w:tcPr>
            <w:tcW w:w="0" w:type="auto"/>
          </w:tcPr>
          <w:p w:rsidR="00D9439D" w:rsidRPr="002F736A" w:rsidRDefault="00D9439D" w:rsidP="002516C5">
            <w:pPr>
              <w:rPr>
                <w:rFonts w:cs="Arial"/>
              </w:rPr>
            </w:pPr>
            <w:r w:rsidRPr="002F736A">
              <w:rPr>
                <w:rFonts w:cs="Arial"/>
              </w:rPr>
              <w:t>M3</w:t>
            </w:r>
          </w:p>
        </w:tc>
        <w:tc>
          <w:tcPr>
            <w:tcW w:w="0" w:type="auto"/>
          </w:tcPr>
          <w:p w:rsidR="00D9439D" w:rsidRPr="002F736A" w:rsidRDefault="00D9439D" w:rsidP="002516C5">
            <w:pPr>
              <w:jc w:val="center"/>
              <w:rPr>
                <w:rFonts w:cs="Arial"/>
              </w:rPr>
            </w:pPr>
            <w:r w:rsidRPr="002F736A">
              <w:rPr>
                <w:rFonts w:cs="Arial"/>
              </w:rPr>
              <w:sym w:font="Symbol" w:char="F080"/>
            </w:r>
          </w:p>
        </w:tc>
        <w:tc>
          <w:tcPr>
            <w:tcW w:w="0" w:type="auto"/>
          </w:tcPr>
          <w:p w:rsidR="00D9439D" w:rsidRPr="002F736A" w:rsidRDefault="00D9439D" w:rsidP="002516C5">
            <w:pPr>
              <w:jc w:val="center"/>
              <w:rPr>
                <w:rFonts w:cs="Arial"/>
              </w:rPr>
            </w:pPr>
            <w:r w:rsidRPr="002F736A">
              <w:rPr>
                <w:rFonts w:cs="Arial"/>
              </w:rPr>
              <w:sym w:font="Symbol" w:char="F080"/>
            </w:r>
          </w:p>
        </w:tc>
        <w:tc>
          <w:tcPr>
            <w:tcW w:w="0" w:type="auto"/>
          </w:tcPr>
          <w:p w:rsidR="00D9439D" w:rsidRPr="002F736A" w:rsidRDefault="00E90F5C" w:rsidP="002516C5">
            <w:pPr>
              <w:jc w:val="center"/>
              <w:rPr>
                <w:rFonts w:cs="Arial"/>
              </w:rPr>
            </w:pPr>
            <w:r w:rsidRPr="00E90F5C">
              <w:rPr>
                <w:rFonts w:cs="Arial"/>
                <w:color w:val="FF0000"/>
              </w:rPr>
              <w:t>X</w:t>
            </w:r>
          </w:p>
        </w:tc>
      </w:tr>
    </w:tbl>
    <w:p w:rsidR="00D9439D" w:rsidRDefault="00D9439D" w:rsidP="00D9439D"/>
    <w:p w:rsidR="00D9439D" w:rsidRDefault="00D9439D" w:rsidP="00D9439D"/>
    <w:p w:rsidR="00D9439D" w:rsidRDefault="00D9439D" w:rsidP="00D9439D"/>
    <w:p w:rsidR="00D9439D" w:rsidRPr="004E22C7" w:rsidRDefault="00D9439D" w:rsidP="00D9439D"/>
    <w:p w:rsidR="00D9439D" w:rsidRDefault="00D9439D" w:rsidP="00D9439D"/>
    <w:bookmarkEnd w:id="0"/>
    <w:p w:rsidR="00D9439D" w:rsidRDefault="00D9439D" w:rsidP="00D9439D"/>
    <w:p w:rsidR="00D9439D" w:rsidRPr="00E90F5C" w:rsidRDefault="00E90F5C" w:rsidP="00D9439D">
      <w:pPr>
        <w:jc w:val="both"/>
        <w:rPr>
          <w:color w:val="0070C0"/>
          <w:sz w:val="18"/>
        </w:rPr>
      </w:pPr>
      <w:r w:rsidRPr="00E90F5C">
        <w:rPr>
          <w:color w:val="0070C0"/>
          <w:sz w:val="18"/>
        </w:rPr>
        <w:t>Es werden nicht unmittelbar Zahlungsmittel verwendet, sondern die Geldanlageformen gewechselt. Da beide in M3 enthalten sind, ändert sich deren Gesamtstand nicht.</w:t>
      </w:r>
    </w:p>
    <w:sectPr w:rsidR="00D9439D" w:rsidRPr="00E90F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E5B"/>
    <w:multiLevelType w:val="hybridMultilevel"/>
    <w:tmpl w:val="9A58A1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8CA03FF"/>
    <w:multiLevelType w:val="hybridMultilevel"/>
    <w:tmpl w:val="02B4EF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13"/>
    <w:rsid w:val="00134EFA"/>
    <w:rsid w:val="001C7753"/>
    <w:rsid w:val="00474108"/>
    <w:rsid w:val="00502DAA"/>
    <w:rsid w:val="00511AC7"/>
    <w:rsid w:val="006A5C97"/>
    <w:rsid w:val="007C5666"/>
    <w:rsid w:val="0090237C"/>
    <w:rsid w:val="00902398"/>
    <w:rsid w:val="00BB4BAC"/>
    <w:rsid w:val="00BE4013"/>
    <w:rsid w:val="00D9439D"/>
    <w:rsid w:val="00E90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6425B-E0BA-4DAD-8EC3-FE94BDB5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0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7753"/>
    <w:pPr>
      <w:ind w:left="720"/>
      <w:contextualSpacing/>
    </w:pPr>
    <w:rPr>
      <w:snapToGrid w:val="0"/>
      <w:szCs w:val="20"/>
      <w:lang w:eastAsia="de-DE"/>
    </w:rPr>
  </w:style>
  <w:style w:type="table" w:styleId="Tabellenraster">
    <w:name w:val="Table Grid"/>
    <w:basedOn w:val="NormaleTabelle"/>
    <w:uiPriority w:val="39"/>
    <w:rsid w:val="00BE4013"/>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2020-08-26T14:01:00Z</dcterms:created>
  <dcterms:modified xsi:type="dcterms:W3CDTF">2020-08-26T15:57:00Z</dcterms:modified>
</cp:coreProperties>
</file>